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9E3" w:rsidRPr="001839E3" w:rsidRDefault="001839E3" w:rsidP="001839E3">
      <w:pPr>
        <w:spacing w:after="265" w:line="240" w:lineRule="auto"/>
        <w:jc w:val="right"/>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N. 03299/2018REG.PROV.COLL.</w:t>
      </w:r>
      <w:r w:rsidRPr="001839E3">
        <w:rPr>
          <w:rFonts w:ascii="Times New Roman" w:eastAsia="Times New Roman" w:hAnsi="Times New Roman" w:cs="Times New Roman"/>
          <w:color w:val="3D3B39"/>
          <w:lang w:eastAsia="it-IT"/>
        </w:rPr>
        <w:br/>
        <w:t>N. 00410/2018 REG.RIC.</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REPUBBLICA ITALIANA</w:t>
      </w:r>
      <w:r w:rsidRPr="001839E3">
        <w:rPr>
          <w:rFonts w:ascii="Times New Roman" w:eastAsia="Times New Roman" w:hAnsi="Times New Roman" w:cs="Times New Roman"/>
          <w:b/>
          <w:bCs/>
          <w:color w:val="3D3B39"/>
          <w:lang w:eastAsia="it-IT"/>
        </w:rPr>
        <w:br/>
        <w:t>IN NOME DEL POPOLO ITALIANO</w:t>
      </w:r>
      <w:r w:rsidRPr="001839E3">
        <w:rPr>
          <w:rFonts w:ascii="Times New Roman" w:eastAsia="Times New Roman" w:hAnsi="Times New Roman" w:cs="Times New Roman"/>
          <w:b/>
          <w:bCs/>
          <w:color w:val="3D3B39"/>
          <w:lang w:eastAsia="it-IT"/>
        </w:rPr>
        <w:br/>
      </w:r>
      <w:r w:rsidRPr="001839E3">
        <w:rPr>
          <w:rFonts w:ascii="Times New Roman" w:eastAsia="Times New Roman" w:hAnsi="Times New Roman" w:cs="Times New Roman"/>
          <w:color w:val="3D3B39"/>
          <w:lang w:eastAsia="it-IT"/>
        </w:rPr>
        <w:br/>
        <w:t>Il Consiglio di Stato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in sede giurisdizionale (Sezione Terza)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ha pronunciato la presente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SENTENZA</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sul ricorso numero di registro generale 410 del 2018, proposto da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Teofarma</w:t>
      </w:r>
      <w:proofErr w:type="spellEnd"/>
      <w:r w:rsidRPr="001839E3">
        <w:rPr>
          <w:rFonts w:ascii="Times New Roman" w:eastAsia="Times New Roman" w:hAnsi="Times New Roman" w:cs="Times New Roman"/>
          <w:color w:val="3D3B39"/>
          <w:lang w:eastAsia="it-IT"/>
        </w:rPr>
        <w:t xml:space="preserve"> S.r.l., in persona del legale rappresentante pro tempore, rappresentata e difesa dall'Avvocato Claudio </w:t>
      </w:r>
      <w:proofErr w:type="spellStart"/>
      <w:r w:rsidRPr="001839E3">
        <w:rPr>
          <w:rFonts w:ascii="Times New Roman" w:eastAsia="Times New Roman" w:hAnsi="Times New Roman" w:cs="Times New Roman"/>
          <w:color w:val="3D3B39"/>
          <w:lang w:eastAsia="it-IT"/>
        </w:rPr>
        <w:t>Marrapese</w:t>
      </w:r>
      <w:proofErr w:type="spellEnd"/>
      <w:r w:rsidRPr="001839E3">
        <w:rPr>
          <w:rFonts w:ascii="Times New Roman" w:eastAsia="Times New Roman" w:hAnsi="Times New Roman" w:cs="Times New Roman"/>
          <w:color w:val="3D3B39"/>
          <w:lang w:eastAsia="it-IT"/>
        </w:rPr>
        <w:t xml:space="preserve">, con domicilio digitale come da PEC indicata in atti e domicilio fisico presso il suo studio in Roma, via della Balduina, 114;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contro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Regione Lazio, in persona del legale rappresentante pro tempore, rappresentato e difeso dall'avvocato Stefania Ricci, con domicilio digitale come da PEC indicata in atti e domicilio fisico presso il suo studio in Roma, via Marcantonio Colonna 27;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nei confronti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Pierre </w:t>
      </w:r>
      <w:proofErr w:type="spellStart"/>
      <w:r w:rsidRPr="001839E3">
        <w:rPr>
          <w:rFonts w:ascii="Times New Roman" w:eastAsia="Times New Roman" w:hAnsi="Times New Roman" w:cs="Times New Roman"/>
          <w:color w:val="3D3B39"/>
          <w:lang w:eastAsia="it-IT"/>
        </w:rPr>
        <w:t>Fabre</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Pharma</w:t>
      </w:r>
      <w:proofErr w:type="spellEnd"/>
      <w:r w:rsidRPr="001839E3">
        <w:rPr>
          <w:rFonts w:ascii="Times New Roman" w:eastAsia="Times New Roman" w:hAnsi="Times New Roman" w:cs="Times New Roman"/>
          <w:color w:val="3D3B39"/>
          <w:lang w:eastAsia="it-IT"/>
        </w:rPr>
        <w:t xml:space="preserve"> S.r.l., in persona del legale rappresentante pro tempore, rappresentata e difesa dagli Avvocati Stefano </w:t>
      </w:r>
      <w:proofErr w:type="spellStart"/>
      <w:r w:rsidRPr="001839E3">
        <w:rPr>
          <w:rFonts w:ascii="Times New Roman" w:eastAsia="Times New Roman" w:hAnsi="Times New Roman" w:cs="Times New Roman"/>
          <w:color w:val="3D3B39"/>
          <w:lang w:eastAsia="it-IT"/>
        </w:rPr>
        <w:t>Bernasconi</w:t>
      </w:r>
      <w:proofErr w:type="spellEnd"/>
      <w:r w:rsidRPr="001839E3">
        <w:rPr>
          <w:rFonts w:ascii="Times New Roman" w:eastAsia="Times New Roman" w:hAnsi="Times New Roman" w:cs="Times New Roman"/>
          <w:color w:val="3D3B39"/>
          <w:lang w:eastAsia="it-IT"/>
        </w:rPr>
        <w:t xml:space="preserve"> e Nicola Massafra, con domicilio digitale come da PEC indicata in atti e domicilio fisico presso lo studio Nicola Massafra in Roma, largo Ecuador 6;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per la riforma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della sentenza breve del Tribunale Amministrativo Regionale per il Lazio (Sezione Terza quater) n. 12058/2017, resa tra le parti, pubblicata il 6 dicembre 2017, con la quale era dichiarato inammissibile il ricorso per l’annullamento della determinazione n. G0665 dell’11 luglio 2017 della direzione regionale centrale acquisti, con cui la regione Lazio, con riferimento al lotto 117 relativo all’appalto per la fornitura di prodotti farmaceutici destinati alle Aziende sanitarie regionali, aggiudicava la gara alla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Pierre </w:t>
      </w:r>
      <w:proofErr w:type="spellStart"/>
      <w:r w:rsidRPr="001839E3">
        <w:rPr>
          <w:rFonts w:ascii="Times New Roman" w:eastAsia="Times New Roman" w:hAnsi="Times New Roman" w:cs="Times New Roman"/>
          <w:color w:val="3D3B39"/>
          <w:lang w:eastAsia="it-IT"/>
        </w:rPr>
        <w:t>Fabre</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Pharma</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S.R.l.</w:t>
      </w:r>
      <w:proofErr w:type="spellEnd"/>
      <w:r w:rsidRPr="001839E3">
        <w:rPr>
          <w:rFonts w:ascii="Times New Roman" w:eastAsia="Times New Roman" w:hAnsi="Times New Roman" w:cs="Times New Roman"/>
          <w:color w:val="3D3B39"/>
          <w:lang w:eastAsia="it-IT"/>
        </w:rPr>
        <w:t xml:space="preserve"> confermando l’esclusione di </w:t>
      </w:r>
      <w:proofErr w:type="spellStart"/>
      <w:r w:rsidRPr="001839E3">
        <w:rPr>
          <w:rFonts w:ascii="Times New Roman" w:eastAsia="Times New Roman" w:hAnsi="Times New Roman" w:cs="Times New Roman"/>
          <w:color w:val="3D3B39"/>
          <w:lang w:eastAsia="it-IT"/>
        </w:rPr>
        <w:t>Teofarma</w:t>
      </w:r>
      <w:proofErr w:type="spellEnd"/>
      <w:r w:rsidRPr="001839E3">
        <w:rPr>
          <w:rFonts w:ascii="Times New Roman" w:eastAsia="Times New Roman" w:hAnsi="Times New Roman" w:cs="Times New Roman"/>
          <w:color w:val="3D3B39"/>
          <w:lang w:eastAsia="it-IT"/>
        </w:rPr>
        <w:t xml:space="preserve">, nonché della nota della regione Lazio confermativa dell’esclusione n. 0400124, dei verbali e dei relativi allegati, della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della determina G16639 del 29 dicembre 2016 di indizione della gara, della determina G01135 del 6 febbraio 2017 di fissazione dei nuovi termini per la presentazione delle offerte e della determina G08224 del 13 giugno 2017 di nomina della commissione; e per la declaratoria dell’inefficacia del contratto sottoscritto nelle more; e per il diritto ad ottenere il risarcimento per equivalente nell’ipotesi in cui non fosse possibile il risarcimento in forma specifica;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Visti il ricorso in appello e i relativi allegati;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Visti gli atti di costituzione in giudizio della Regione Lazio e di Pierre </w:t>
      </w:r>
      <w:proofErr w:type="spellStart"/>
      <w:r w:rsidRPr="001839E3">
        <w:rPr>
          <w:rFonts w:ascii="Times New Roman" w:eastAsia="Times New Roman" w:hAnsi="Times New Roman" w:cs="Times New Roman"/>
          <w:color w:val="3D3B39"/>
          <w:lang w:eastAsia="it-IT"/>
        </w:rPr>
        <w:t>Fabre</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Pharma</w:t>
      </w:r>
      <w:proofErr w:type="spellEnd"/>
      <w:r w:rsidRPr="001839E3">
        <w:rPr>
          <w:rFonts w:ascii="Times New Roman" w:eastAsia="Times New Roman" w:hAnsi="Times New Roman" w:cs="Times New Roman"/>
          <w:color w:val="3D3B39"/>
          <w:lang w:eastAsia="it-IT"/>
        </w:rPr>
        <w:t xml:space="preserve"> S.r.l.;</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Visti tutti gli atti della causa;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Relatore nell'udienza pubblica del giorno 17 maggio 2018 il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Solveig</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Cogliani</w:t>
      </w:r>
      <w:proofErr w:type="spellEnd"/>
      <w:r w:rsidRPr="001839E3">
        <w:rPr>
          <w:rFonts w:ascii="Times New Roman" w:eastAsia="Times New Roman" w:hAnsi="Times New Roman" w:cs="Times New Roman"/>
          <w:color w:val="3D3B39"/>
          <w:lang w:eastAsia="it-IT"/>
        </w:rPr>
        <w:t xml:space="preserve"> e uditi per le parti gli Avvocati Riccardo De Sanctis su delega dell’Avvocato Claudio </w:t>
      </w:r>
      <w:proofErr w:type="spellStart"/>
      <w:r w:rsidRPr="001839E3">
        <w:rPr>
          <w:rFonts w:ascii="Times New Roman" w:eastAsia="Times New Roman" w:hAnsi="Times New Roman" w:cs="Times New Roman"/>
          <w:color w:val="3D3B39"/>
          <w:lang w:eastAsia="it-IT"/>
        </w:rPr>
        <w:t>Marrapese</w:t>
      </w:r>
      <w:proofErr w:type="spellEnd"/>
      <w:r w:rsidRPr="001839E3">
        <w:rPr>
          <w:rFonts w:ascii="Times New Roman" w:eastAsia="Times New Roman" w:hAnsi="Times New Roman" w:cs="Times New Roman"/>
          <w:color w:val="3D3B39"/>
          <w:lang w:eastAsia="it-IT"/>
        </w:rPr>
        <w:t xml:space="preserve">, Stefania Ricci e Nicola Massafra per sé e anche per l’Avvocato Stefano </w:t>
      </w:r>
      <w:proofErr w:type="spellStart"/>
      <w:r w:rsidRPr="001839E3">
        <w:rPr>
          <w:rFonts w:ascii="Times New Roman" w:eastAsia="Times New Roman" w:hAnsi="Times New Roman" w:cs="Times New Roman"/>
          <w:color w:val="3D3B39"/>
          <w:lang w:eastAsia="it-IT"/>
        </w:rPr>
        <w:t>Bernasconi</w:t>
      </w:r>
      <w:proofErr w:type="spellEnd"/>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br/>
        <w:t>Ritenuto e considerato in fatto e diritto quanto segue.</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FATTO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La Regione Lazio indiceva con determina 29 dicembre 2016 una gara “Farmaci 2” per la fornitura di farmaci occorrenti alle aziende sanitarie regionali per trentasei mesi , col criterio del prezzo più basso.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Per il Lotto 1117 , il Capitolato tecnico prevedeva che il principio di solfato ferroso dovesse rispondere alle seguenti caratteristiche: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Forma farmaceutica di compresse,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Dosaggio 80 mg per quantità di 5.551.950 unità,</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Importo a base d’asta di euro 0.047,</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Confezioni di 40 compresse,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Numero totale di 138.799 confezioni.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Con il ricorso di primo grado la </w:t>
      </w:r>
      <w:proofErr w:type="spellStart"/>
      <w:r w:rsidRPr="001839E3">
        <w:rPr>
          <w:rFonts w:ascii="Times New Roman" w:eastAsia="Times New Roman" w:hAnsi="Times New Roman" w:cs="Times New Roman"/>
          <w:color w:val="3D3B39"/>
          <w:lang w:eastAsia="it-IT"/>
        </w:rPr>
        <w:t>Teofarma</w:t>
      </w:r>
      <w:proofErr w:type="spellEnd"/>
      <w:r w:rsidRPr="001839E3">
        <w:rPr>
          <w:rFonts w:ascii="Times New Roman" w:eastAsia="Times New Roman" w:hAnsi="Times New Roman" w:cs="Times New Roman"/>
          <w:color w:val="3D3B39"/>
          <w:lang w:eastAsia="it-IT"/>
        </w:rPr>
        <w:t xml:space="preserve"> si doleva dell’esclusione dalla gara poiché il proprio prodotto aveva presentato un dosaggio di mg 105, tuttavia al miglior prezzo unitario di euro 0,02000, laddove invece era mantenuta l’offerta della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relativa ad un prodotto nella confezione di 30 compresse con dosaggio di 80 mg. per il prezzo unitario di euro 0,2199.</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Il giudice di prime cure riteneva inammissibile il ricorso per non aver l’interessata tempestivamente impugnato la clausola del bando che si presentava immediatamente lesiva sin dalla lettera di invito, ove si specificava che l’offerta avrebbe dovuto avere per oggetto quanto prescritto nella documentazione (il Capitolato d’oneri al punto 6.7. specificava per l’appunto che l’offerta doveva essere compilata secondo i modelli scaricabili via internet, che a loro volta riportavano le caratteristiche della fornitura come da Allegato al capitolato Tecnico, in base alla cui Tabella Elenco Lotti per il lotto in argomento, era prevista la fornitura del farmaco ferroso solfato in compresse da 80 mg.).</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Nella specie, le specifiche tecniche erano previste a pena di esclusione, pertanto non poteva trovare applicazione il principio di cui all’art. 68 d.lgs. n. 50 del 2016.</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Avverso siffatta pronunzia propone appello la </w:t>
      </w:r>
      <w:proofErr w:type="spellStart"/>
      <w:r w:rsidRPr="001839E3">
        <w:rPr>
          <w:rFonts w:ascii="Times New Roman" w:eastAsia="Times New Roman" w:hAnsi="Times New Roman" w:cs="Times New Roman"/>
          <w:color w:val="3D3B39"/>
          <w:lang w:eastAsia="it-IT"/>
        </w:rPr>
        <w:t>Teofarma</w:t>
      </w:r>
      <w:proofErr w:type="spellEnd"/>
      <w:r w:rsidRPr="001839E3">
        <w:rPr>
          <w:rFonts w:ascii="Times New Roman" w:eastAsia="Times New Roman" w:hAnsi="Times New Roman" w:cs="Times New Roman"/>
          <w:color w:val="3D3B39"/>
          <w:lang w:eastAsia="it-IT"/>
        </w:rPr>
        <w:t xml:space="preserve"> deducendo i seguenti motivi: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1 – </w:t>
      </w:r>
      <w:proofErr w:type="spellStart"/>
      <w:r w:rsidRPr="001839E3">
        <w:rPr>
          <w:rFonts w:ascii="Times New Roman" w:eastAsia="Times New Roman" w:hAnsi="Times New Roman" w:cs="Times New Roman"/>
          <w:color w:val="3D3B39"/>
          <w:lang w:eastAsia="it-IT"/>
        </w:rPr>
        <w:t>error</w:t>
      </w:r>
      <w:proofErr w:type="spellEnd"/>
      <w:r w:rsidRPr="001839E3">
        <w:rPr>
          <w:rFonts w:ascii="Times New Roman" w:eastAsia="Times New Roman" w:hAnsi="Times New Roman" w:cs="Times New Roman"/>
          <w:color w:val="3D3B39"/>
          <w:lang w:eastAsia="it-IT"/>
        </w:rPr>
        <w:t xml:space="preserve"> in iudicando ed in procedendo, violazione dell’art. 68 del Codice dei contratti, dell’art. 100 </w:t>
      </w:r>
      <w:proofErr w:type="spellStart"/>
      <w:r w:rsidRPr="001839E3">
        <w:rPr>
          <w:rFonts w:ascii="Times New Roman" w:eastAsia="Times New Roman" w:hAnsi="Times New Roman" w:cs="Times New Roman"/>
          <w:color w:val="3D3B39"/>
          <w:lang w:eastAsia="it-IT"/>
        </w:rPr>
        <w:t>c.p.c.</w:t>
      </w:r>
      <w:proofErr w:type="spellEnd"/>
      <w:r w:rsidRPr="001839E3">
        <w:rPr>
          <w:rFonts w:ascii="Times New Roman" w:eastAsia="Times New Roman" w:hAnsi="Times New Roman" w:cs="Times New Roman"/>
          <w:color w:val="3D3B39"/>
          <w:lang w:eastAsia="it-IT"/>
        </w:rPr>
        <w:t xml:space="preserve"> dell’art. 107 e 34 del T.F.U.E, eccesso di potere per travisamento, sviamento, illogicità, irragionevolezza, ingiustizia, abnormità , carenza di istruttoria e di motivazione, disparità di trattamento, violazione del principio di </w:t>
      </w:r>
      <w:proofErr w:type="spellStart"/>
      <w:r w:rsidRPr="001839E3">
        <w:rPr>
          <w:rFonts w:ascii="Times New Roman" w:eastAsia="Times New Roman" w:hAnsi="Times New Roman" w:cs="Times New Roman"/>
          <w:color w:val="3D3B39"/>
          <w:lang w:eastAsia="it-IT"/>
        </w:rPr>
        <w:t>favor</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partecipationis</w:t>
      </w:r>
      <w:proofErr w:type="spellEnd"/>
      <w:r w:rsidRPr="001839E3">
        <w:rPr>
          <w:rFonts w:ascii="Times New Roman" w:eastAsia="Times New Roman" w:hAnsi="Times New Roman" w:cs="Times New Roman"/>
          <w:color w:val="3D3B39"/>
          <w:lang w:eastAsia="it-IT"/>
        </w:rPr>
        <w:t xml:space="preserve">, dell’affidamento, dell’equivalenza, di ragionevolezza, di proporzionalità e tassatività-, violazione del principio di trasparenza e del buon andamento della p.a. di cui all’art. 97 </w:t>
      </w:r>
      <w:proofErr w:type="spellStart"/>
      <w:r w:rsidRPr="001839E3">
        <w:rPr>
          <w:rFonts w:ascii="Times New Roman" w:eastAsia="Times New Roman" w:hAnsi="Times New Roman" w:cs="Times New Roman"/>
          <w:color w:val="3D3B39"/>
          <w:lang w:eastAsia="it-IT"/>
        </w:rPr>
        <w:t>Cost</w:t>
      </w:r>
      <w:proofErr w:type="spellEnd"/>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erroneamente, dunque, il primo giudice avrebbe ritenuto non applicabile alla fattispecie il principio dell’equipollenza, affermato dalla sentenza di questa Sezione n. 4282 del 2017 , in forza del quale, peraltro, la valutazione della conformità del prodotto offerto deve avvenire in maniera non meramente formale (in </w:t>
      </w:r>
      <w:proofErr w:type="spellStart"/>
      <w:r w:rsidRPr="001839E3">
        <w:rPr>
          <w:rFonts w:ascii="Times New Roman" w:eastAsia="Times New Roman" w:hAnsi="Times New Roman" w:cs="Times New Roman"/>
          <w:color w:val="3D3B39"/>
          <w:lang w:eastAsia="it-IT"/>
        </w:rPr>
        <w:t>terminis</w:t>
      </w:r>
      <w:proofErr w:type="spellEnd"/>
      <w:r w:rsidRPr="001839E3">
        <w:rPr>
          <w:rFonts w:ascii="Times New Roman" w:eastAsia="Times New Roman" w:hAnsi="Times New Roman" w:cs="Times New Roman"/>
          <w:color w:val="3D3B39"/>
          <w:lang w:eastAsia="it-IT"/>
        </w:rPr>
        <w:t xml:space="preserve">, la parte evoca la sentenza di questa Sezione, n. 3701 del 2016; nella specie che occupa, il farmaco offerto dall’appellante e quello della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hanno lo stesso codice (B03A07) nell’ambito del sistema di classificazione Anatomico Terapeutico chimico – ATC – voluto dal capitolato); ancora il dosaggio giornaliero raccomandato dall’Organizzazione mondiale della Sanità sarebbe pari a 200 mg, sicché il dosaggio di 105 mg di cui all’offerta dell’appellante sarebbe perfettamente idoneo a soddisfare le esigenze dei pazienti e corrispondente alle specifiche tecniche; in tale senso l’esclusione dell’appellante si rileverebbe ancora più aberrante in quanto contrastante anche con il criterio di maggiore convenienza per la stazione appaltante;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br/>
        <w:t>2 – violazione del criterio di aggiudicazione di cui alla lettera di invito, dell’art. 95 del codice dei contratti pubblici ed, ancora, eccesso di potere per le figure sintomatiche già prima elencate al punto 1), in quanto, essendo prevista l’aggiudicazione al prezzo più basso, la scelta dell’amministrazione sarebbe illogica in presenza di offerte sovrapponibili e, peraltro, comporterebbe un ingiustificato aggravio della spesa di euro 11.048,38.</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Si è costituita per resistere 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Pierre </w:t>
      </w:r>
      <w:proofErr w:type="spellStart"/>
      <w:r w:rsidRPr="001839E3">
        <w:rPr>
          <w:rFonts w:ascii="Times New Roman" w:eastAsia="Times New Roman" w:hAnsi="Times New Roman" w:cs="Times New Roman"/>
          <w:color w:val="3D3B39"/>
          <w:lang w:eastAsia="it-IT"/>
        </w:rPr>
        <w:t>Fabre</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Pharma</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s.r.l</w:t>
      </w:r>
      <w:proofErr w:type="spellEnd"/>
      <w:r w:rsidRPr="001839E3">
        <w:rPr>
          <w:rFonts w:ascii="Times New Roman" w:eastAsia="Times New Roman" w:hAnsi="Times New Roman" w:cs="Times New Roman"/>
          <w:color w:val="3D3B39"/>
          <w:lang w:eastAsia="it-IT"/>
        </w:rPr>
        <w:t>, , ribadendo la non equivalenza dei farmaci di cui alle offerte delle due Società.</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Si è costituita, altresì, la Regione per resistere, chiedendo la conferma della sentenza di prime cure.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All’udienza per la discussione della domanda cautelare, l’appellante ha rinunziato alla domanda di sospensione, sicché la causa è stata rinviata alla discussione del merito.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All’udienza del 17 maggio 2018, la controversia è stata trattenuta in decisione.</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DIRITTO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I – Osserva il Collegio che viene all’esame della Sezione nuovamente un tema largamente dibattuto, ovvero quello attinente alla portata escludente delle clausole di bando ed alla loro immediata lesività ai fini della conseguente necessità di immediata impugnazione delle stesse.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Non si </w:t>
      </w:r>
      <w:proofErr w:type="spellStart"/>
      <w:r w:rsidRPr="001839E3">
        <w:rPr>
          <w:rFonts w:ascii="Times New Roman" w:eastAsia="Times New Roman" w:hAnsi="Times New Roman" w:cs="Times New Roman"/>
          <w:color w:val="3D3B39"/>
          <w:lang w:eastAsia="it-IT"/>
        </w:rPr>
        <w:t>può.prescindere</w:t>
      </w:r>
      <w:proofErr w:type="spellEnd"/>
      <w:r w:rsidRPr="001839E3">
        <w:rPr>
          <w:rFonts w:ascii="Times New Roman" w:eastAsia="Times New Roman" w:hAnsi="Times New Roman" w:cs="Times New Roman"/>
          <w:color w:val="3D3B39"/>
          <w:lang w:eastAsia="it-IT"/>
        </w:rPr>
        <w:t>, nella decisione sul punto, che forma oggetto di appello, dal prendere le mosse dai principi riaffermati recentemente dall’Adunanza Plenaria n. 4 del 26 aprile 2018.</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L’Adunanza Plenaria ha richiamato la consolidata giurisprudenza del Consiglio che ha enucleato “le ipotesi” delle “clausole immediatamente escludenti”: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“a) clausole impositive, ai fini della partecipazione, di oneri manifestamente incomprensibili o del tutto sproporzionati per eccesso rispetto ai contenuti della procedura concorsuale (si veda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Stato sez. IV, 7novembre 2012, n. 5671);</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b) regole che rendano la partecipazione incongruamente difficoltosa o addirittura impossibile (così l’Adunanza plenaria n. 3 del 2001);</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c) disposizioni abnormi o irragionevoli che rendano impossibile il calcolo di convenienza tecnica ed economica ai fini della partecipazione alla gara; ovvero prevedano abbreviazioni irragionevoli dei termini per la presentazione dell'offerta (cfr.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Stato sez. V, 24 febbraio 2003, n. 980);</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d) condizioni negoziali che rendano il rapporto contrattuale eccessivamente oneroso e obiettivamente non conveniente (cfr.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xml:space="preserve">. Stato, Sez. V, 21 novembre 2011 n. 6135;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Stato, sez. III, 23 gennaio 2015 n. 293);</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e) clausole impositive di obblighi contra </w:t>
      </w:r>
      <w:proofErr w:type="spellStart"/>
      <w:r w:rsidRPr="001839E3">
        <w:rPr>
          <w:rFonts w:ascii="Times New Roman" w:eastAsia="Times New Roman" w:hAnsi="Times New Roman" w:cs="Times New Roman"/>
          <w:color w:val="3D3B39"/>
          <w:lang w:eastAsia="it-IT"/>
        </w:rPr>
        <w:t>ius</w:t>
      </w:r>
      <w:proofErr w:type="spellEnd"/>
      <w:r w:rsidRPr="001839E3">
        <w:rPr>
          <w:rFonts w:ascii="Times New Roman" w:eastAsia="Times New Roman" w:hAnsi="Times New Roman" w:cs="Times New Roman"/>
          <w:color w:val="3D3B39"/>
          <w:lang w:eastAsia="it-IT"/>
        </w:rPr>
        <w:t xml:space="preserve"> (es. cauzione definitiva pari all'intero importo dell'appalto: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Stato, sez. II, 19 febbraio 2003, n. 2222);</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f) bandi contenenti gravi carenze nell'indicazione di dati essenziali per la formulazione dell'offerta (come ad esempio quelli relativi al numero, qualifiche, mansioni, livelli retributivi e anzianità del personale destinato ad essere assorbiti dall'aggiudicatario), ovvero che presentino formule matematiche del tutto errate (come quelle per cui tutte le offerte conseguono comunque il punteggio di "0" </w:t>
      </w:r>
      <w:proofErr w:type="spellStart"/>
      <w:r w:rsidRPr="001839E3">
        <w:rPr>
          <w:rFonts w:ascii="Times New Roman" w:eastAsia="Times New Roman" w:hAnsi="Times New Roman" w:cs="Times New Roman"/>
          <w:color w:val="3D3B39"/>
          <w:lang w:eastAsia="it-IT"/>
        </w:rPr>
        <w:t>pt</w:t>
      </w:r>
      <w:proofErr w:type="spellEnd"/>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g) atti di gara del tutto mancanti della prescritta indicazione nel bando di gara dei costi della sicurezza "non soggetti a ribasso" (cfr.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Stato, sez. III, 3 ottobre 2011 n. 5421)”.</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Per converso, ha ricordato che “è stato ribadito il principio generale secondo il quale le rimanenti clausole, in </w:t>
      </w:r>
      <w:r w:rsidRPr="001839E3">
        <w:rPr>
          <w:rFonts w:ascii="Times New Roman" w:eastAsia="Times New Roman" w:hAnsi="Times New Roman" w:cs="Times New Roman"/>
          <w:color w:val="3D3B39"/>
          <w:lang w:eastAsia="it-IT"/>
        </w:rPr>
        <w:lastRenderedPageBreak/>
        <w:t>quanto non immediatamente lesive, devono essere impugnate insieme con l'atto di approvazione della graduatoria definitiva, che definisce la procedura concorsuale ed identifica in concreto il soggetto leso dal provvedimento, rendendo attuale e concreta la lesione della situazione soggettiva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Stato, sez. V, 27 ottobre 2014, n. 5282) e postulano la preventiva partecipazione alla gara”.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Pertanto, sul punto di interesse, ha affermato che: “le clausole del bando di gara che non rivestano portata escludente devono essere impugnate unitamente al provvedimento lesivo e possono essere impugnate unicamente dall’operatore economico che abbia partecipato alla gara o manifestato formalmente il proprio interesse alla procedura”.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Orbene, alla luce dei principi enunciati, vale rilevare che la contestazione dell’odierna appellante non attiene alla possibilità di partecipare alla competizione, bensì alla interpretazione del bando. La Società </w:t>
      </w:r>
      <w:proofErr w:type="spellStart"/>
      <w:r w:rsidRPr="001839E3">
        <w:rPr>
          <w:rFonts w:ascii="Times New Roman" w:eastAsia="Times New Roman" w:hAnsi="Times New Roman" w:cs="Times New Roman"/>
          <w:color w:val="3D3B39"/>
          <w:lang w:eastAsia="it-IT"/>
        </w:rPr>
        <w:t>Teofarma</w:t>
      </w:r>
      <w:proofErr w:type="spellEnd"/>
      <w:r w:rsidRPr="001839E3">
        <w:rPr>
          <w:rFonts w:ascii="Times New Roman" w:eastAsia="Times New Roman" w:hAnsi="Times New Roman" w:cs="Times New Roman"/>
          <w:color w:val="3D3B39"/>
          <w:lang w:eastAsia="it-IT"/>
        </w:rPr>
        <w:t xml:space="preserve"> sostiene, infatti, che la legge di gara, nel prevedere la composizione del farmaco in gara non avrebbe inteso comunque escludere i prodotti equivalenti, che anzi dovrebbero ritenersi inclusi, alla luce dei principi di </w:t>
      </w:r>
      <w:proofErr w:type="spellStart"/>
      <w:r w:rsidRPr="001839E3">
        <w:rPr>
          <w:rFonts w:ascii="Times New Roman" w:eastAsia="Times New Roman" w:hAnsi="Times New Roman" w:cs="Times New Roman"/>
          <w:color w:val="3D3B39"/>
          <w:lang w:eastAsia="it-IT"/>
        </w:rPr>
        <w:t>favor</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partecipationis</w:t>
      </w:r>
      <w:proofErr w:type="spellEnd"/>
      <w:r w:rsidRPr="001839E3">
        <w:rPr>
          <w:rFonts w:ascii="Times New Roman" w:eastAsia="Times New Roman" w:hAnsi="Times New Roman" w:cs="Times New Roman"/>
          <w:color w:val="3D3B39"/>
          <w:lang w:eastAsia="it-IT"/>
        </w:rPr>
        <w:t xml:space="preserve"> elaborati dalla giurisprudenza e riconducibili all'art. 68 del codice dei contratti.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Alla luce di siffatta lettura ed in conformità del principio riaffermato dall’Adunanza Plenaria il ricorso non poteva essere dichiarato inammissibile. Del resto con sentenza di questa Sezione n. 4364 del 2013 - su una questione di ammissibilità analoga (quanto alla prospettazione di parte ricorrente) - si è evidenziato che nel caso in cui “non si tratta di sindacare l’esclusione dalla gara di prodotti non conformi alla legge di gara, bensì l’ammissione di prodotti equivalenti a quelli da essa richiesti” “non si vede in che modo gli interessati avrebbero potuto o dovuto immediatamente contestare una previsione del bando”.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II – Ciò posto, passando ora all’esame del secondo motivo, tuttavia, l’appello si appalesa sotto tale profilo infondato. Infatti, dalla lettura dei documenti di causa emerge che il prodotto con dosaggio 80 mg (di cui all’offerta della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è stato ritenuto - in sede scientifica – avere miglior assorbimento (cfr. sul punto doc. 1 allegato in primo grado dalla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pag. 10 e doc. 2).</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Ne deriva che le altre affermazioni di parte appellante quanto all’equivalenza dei prodotti (medesimo codice o, come nell’ultima memoria, inserimento nel medesimo lotto dei prodotti con dosaggio 80 mg o superiore) non sono in grado di superare, nel caso che occupa, la specifica richiesta da parte dell’Amministrazione, che costituisce, peraltro, espressione di una valutazione tecnico discrezionale né illogica né irragionevole e che, pertanto, si appalesa sottratta al sindacato di questo giudice.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L’appellante non ha fornito, infatti, convincenti elementi di prova circa l’irrazionalità, illogicità e, dunque, illegittimità della non equivalenza ritenuta dall’Amministrazione dei prodotti contenenti diverso dosaggio.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È costante la giurisprudenza di questo Consiglio nell’affermare che gli apprezzamenti in ordine alla idoneità o alla inidoneità tecnica delle offerte dei vari partecipanti alla gara pubblica, in quanto espressione di un potere di natura tecnico-discrezionale a carattere complesso, sono sindacabili in sede giurisdizionale solo se affetti da macroscopici vizi logici, disparità di trattamento, errore manifesto, contraddittorietà </w:t>
      </w:r>
      <w:proofErr w:type="spellStart"/>
      <w:r w:rsidRPr="001839E3">
        <w:rPr>
          <w:rFonts w:ascii="Times New Roman" w:eastAsia="Times New Roman" w:hAnsi="Times New Roman" w:cs="Times New Roman"/>
          <w:color w:val="3D3B39"/>
          <w:lang w:eastAsia="it-IT"/>
        </w:rPr>
        <w:t>ictu</w:t>
      </w:r>
      <w:proofErr w:type="spellEnd"/>
      <w:r w:rsidRPr="001839E3">
        <w:rPr>
          <w:rFonts w:ascii="Times New Roman" w:eastAsia="Times New Roman" w:hAnsi="Times New Roman" w:cs="Times New Roman"/>
          <w:color w:val="3D3B39"/>
          <w:lang w:eastAsia="it-IT"/>
        </w:rPr>
        <w:t xml:space="preserve"> oculi rilevabile, rientrando tipicamente nel potere valutativo quello di ritenere migliore un’offerta rispetto ad un’altra (v., ex </w:t>
      </w:r>
      <w:proofErr w:type="spellStart"/>
      <w:r w:rsidRPr="001839E3">
        <w:rPr>
          <w:rFonts w:ascii="Times New Roman" w:eastAsia="Times New Roman" w:hAnsi="Times New Roman" w:cs="Times New Roman"/>
          <w:color w:val="3D3B39"/>
          <w:lang w:eastAsia="it-IT"/>
        </w:rPr>
        <w:t>plurimis</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St., sez. III, 26.1.2012, n. 249).</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III – Per quanto sin qui considerato, la sentenza del primo giudice deve essere confermata con diversa motivazione e, conseguentemente, deve essere respinto il ricorso n. 8911/2017.</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Sussistono giusti motivi per compensare le spese del giudizio tra le parti in ragione della particolarità della fattispecie esaminata.</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P.Q.M.</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Il Consiglio di Stato in sede giurisdizionale (Sezione Terza), definitivamente pronunciando sull'appello, come in epigrafe proposto, lo respinge e, per l’effetto, conferma con diversa motivazione la sentenza n. 12058 e, conseguentemente, respinge il ricorso proposto in primo grado n. 8911/2017.</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t>Spese compensate. Ordina che la presente sentenza sia eseguita dall'autorità amministrativa.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Così deciso in Roma nella camera di consiglio del giorno 17 maggio 2018 con l'intervento dei magistrati:</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Lanfranco </w:t>
      </w:r>
      <w:proofErr w:type="spellStart"/>
      <w:r w:rsidRPr="001839E3">
        <w:rPr>
          <w:rFonts w:ascii="Times New Roman" w:eastAsia="Times New Roman" w:hAnsi="Times New Roman" w:cs="Times New Roman"/>
          <w:color w:val="3D3B39"/>
          <w:lang w:eastAsia="it-IT"/>
        </w:rPr>
        <w:t>Balucani</w:t>
      </w:r>
      <w:proofErr w:type="spellEnd"/>
      <w:r w:rsidRPr="001839E3">
        <w:rPr>
          <w:rFonts w:ascii="Times New Roman" w:eastAsia="Times New Roman" w:hAnsi="Times New Roman" w:cs="Times New Roman"/>
          <w:color w:val="3D3B39"/>
          <w:lang w:eastAsia="it-IT"/>
        </w:rPr>
        <w:t>, Presidente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Massimiliano </w:t>
      </w:r>
      <w:proofErr w:type="spellStart"/>
      <w:r w:rsidRPr="001839E3">
        <w:rPr>
          <w:rFonts w:ascii="Times New Roman" w:eastAsia="Times New Roman" w:hAnsi="Times New Roman" w:cs="Times New Roman"/>
          <w:color w:val="3D3B39"/>
          <w:lang w:eastAsia="it-IT"/>
        </w:rPr>
        <w:t>Noccelli</w:t>
      </w:r>
      <w:proofErr w:type="spellEnd"/>
      <w:r w:rsidRPr="001839E3">
        <w:rPr>
          <w:rFonts w:ascii="Times New Roman" w:eastAsia="Times New Roman" w:hAnsi="Times New Roman" w:cs="Times New Roman"/>
          <w:color w:val="3D3B39"/>
          <w:lang w:eastAsia="it-IT"/>
        </w:rPr>
        <w:t>, Consigliere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Pierfrancesco Ungari, Consigliere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Giovanni Pescatore, Consigliere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Solveig</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Cogliani</w:t>
      </w:r>
      <w:proofErr w:type="spellEnd"/>
      <w:r w:rsidRPr="001839E3">
        <w:rPr>
          <w:rFonts w:ascii="Times New Roman" w:eastAsia="Times New Roman" w:hAnsi="Times New Roman" w:cs="Times New Roman"/>
          <w:color w:val="3D3B39"/>
          <w:lang w:eastAsia="it-IT"/>
        </w:rPr>
        <w:t>, Consigliere, Estensore</w:t>
      </w:r>
    </w:p>
    <w:p w:rsidR="001839E3" w:rsidRDefault="001839E3" w:rsidP="001839E3">
      <w:pPr>
        <w:spacing w:after="265" w:line="240" w:lineRule="auto"/>
        <w:rPr>
          <w:rFonts w:ascii="PT Serif" w:eastAsia="Times New Roman" w:hAnsi="PT Serif" w:cs="Helvetica"/>
          <w:b/>
          <w:bCs/>
          <w:color w:val="3D3B39"/>
          <w:sz w:val="21"/>
          <w:szCs w:val="21"/>
          <w:lang w:eastAsia="it-IT"/>
        </w:rPr>
      </w:pPr>
    </w:p>
    <w:p w:rsidR="001839E3" w:rsidRDefault="001839E3" w:rsidP="001839E3">
      <w:pPr>
        <w:spacing w:after="265" w:line="240" w:lineRule="auto"/>
        <w:rPr>
          <w:rFonts w:ascii="PT Serif" w:eastAsia="Times New Roman" w:hAnsi="PT Serif" w:cs="Helvetica"/>
          <w:b/>
          <w:bCs/>
          <w:color w:val="3D3B39"/>
          <w:sz w:val="21"/>
          <w:szCs w:val="21"/>
          <w:lang w:eastAsia="it-IT"/>
        </w:rPr>
      </w:pPr>
    </w:p>
    <w:p w:rsidR="001839E3" w:rsidRDefault="001839E3" w:rsidP="001839E3">
      <w:pPr>
        <w:spacing w:after="265" w:line="240" w:lineRule="auto"/>
        <w:rPr>
          <w:rFonts w:ascii="PT Serif" w:eastAsia="Times New Roman" w:hAnsi="PT Serif" w:cs="Helvetica"/>
          <w:b/>
          <w:bCs/>
          <w:color w:val="3D3B39"/>
          <w:sz w:val="21"/>
          <w:szCs w:val="21"/>
          <w:lang w:eastAsia="it-IT"/>
        </w:rPr>
      </w:pPr>
    </w:p>
    <w:p w:rsidR="001839E3" w:rsidRDefault="001839E3" w:rsidP="001839E3">
      <w:pPr>
        <w:spacing w:after="265" w:line="240" w:lineRule="auto"/>
        <w:rPr>
          <w:rFonts w:ascii="PT Serif" w:eastAsia="Times New Roman" w:hAnsi="PT Serif" w:cs="Helvetica"/>
          <w:b/>
          <w:bCs/>
          <w:color w:val="3D3B39"/>
          <w:sz w:val="21"/>
          <w:szCs w:val="21"/>
          <w:lang w:eastAsia="it-IT"/>
        </w:rPr>
      </w:pPr>
    </w:p>
    <w:p w:rsidR="001839E3" w:rsidRDefault="001839E3" w:rsidP="001839E3">
      <w:pPr>
        <w:spacing w:after="265" w:line="240" w:lineRule="auto"/>
        <w:rPr>
          <w:rFonts w:ascii="PT Serif" w:eastAsia="Times New Roman" w:hAnsi="PT Serif" w:cs="Helvetica"/>
          <w:b/>
          <w:bCs/>
          <w:color w:val="3D3B39"/>
          <w:sz w:val="21"/>
          <w:szCs w:val="21"/>
          <w:lang w:eastAsia="it-IT"/>
        </w:rPr>
      </w:pPr>
    </w:p>
    <w:p w:rsidR="00CA0328" w:rsidRDefault="00CA0328"/>
    <w:p w:rsidR="001839E3" w:rsidRDefault="001839E3"/>
    <w:p w:rsidR="001839E3" w:rsidRDefault="001839E3"/>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6A4D7A" w:rsidRDefault="006A4D7A" w:rsidP="001839E3">
      <w:pPr>
        <w:spacing w:after="225" w:line="240" w:lineRule="auto"/>
        <w:outlineLvl w:val="2"/>
        <w:rPr>
          <w:rFonts w:ascii="PT Serif" w:eastAsia="Times New Roman" w:hAnsi="PT Serif" w:cs="Helvetica"/>
          <w:b/>
          <w:bCs/>
          <w:caps/>
          <w:color w:val="000000"/>
          <w:sz w:val="26"/>
          <w:szCs w:val="26"/>
          <w:lang w:eastAsia="it-IT"/>
        </w:rPr>
      </w:pPr>
    </w:p>
    <w:p w:rsidR="001839E3" w:rsidRPr="001839E3" w:rsidRDefault="001839E3" w:rsidP="001839E3">
      <w:pPr>
        <w:spacing w:after="265" w:line="240" w:lineRule="auto"/>
        <w:jc w:val="right"/>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lastRenderedPageBreak/>
        <w:t>N. 03301/2018REG.PROV.COLL.</w:t>
      </w:r>
      <w:r w:rsidRPr="001839E3">
        <w:rPr>
          <w:rFonts w:ascii="Times New Roman" w:eastAsia="Times New Roman" w:hAnsi="Times New Roman" w:cs="Times New Roman"/>
          <w:color w:val="3D3B39"/>
          <w:lang w:eastAsia="it-IT"/>
        </w:rPr>
        <w:br/>
        <w:t>N. 00626/2018 REG.RIC.</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REPUBBLICA ITALIANA</w:t>
      </w:r>
      <w:r w:rsidRPr="001839E3">
        <w:rPr>
          <w:rFonts w:ascii="Times New Roman" w:eastAsia="Times New Roman" w:hAnsi="Times New Roman" w:cs="Times New Roman"/>
          <w:b/>
          <w:bCs/>
          <w:color w:val="3D3B39"/>
          <w:lang w:eastAsia="it-IT"/>
        </w:rPr>
        <w:br/>
        <w:t>IN NOME DEL POPOLO ITALIANO</w:t>
      </w:r>
      <w:r w:rsidRPr="001839E3">
        <w:rPr>
          <w:rFonts w:ascii="Times New Roman" w:eastAsia="Times New Roman" w:hAnsi="Times New Roman" w:cs="Times New Roman"/>
          <w:b/>
          <w:bCs/>
          <w:color w:val="3D3B39"/>
          <w:lang w:eastAsia="it-IT"/>
        </w:rPr>
        <w:br/>
      </w:r>
      <w:r w:rsidRPr="001839E3">
        <w:rPr>
          <w:rFonts w:ascii="Times New Roman" w:eastAsia="Times New Roman" w:hAnsi="Times New Roman" w:cs="Times New Roman"/>
          <w:color w:val="3D3B39"/>
          <w:lang w:eastAsia="it-IT"/>
        </w:rPr>
        <w:br/>
        <w:t>Il Consiglio di Stato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in sede giurisdizionale (Sezione Terza)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ha pronunciato la presente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SENTENZA</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sul ricorso numero di registro generale 626 del 2018, proposto da: </w:t>
      </w:r>
      <w:r w:rsidRPr="001839E3">
        <w:rPr>
          <w:rFonts w:ascii="Times New Roman" w:eastAsia="Times New Roman" w:hAnsi="Times New Roman" w:cs="Times New Roman"/>
          <w:color w:val="3D3B39"/>
          <w:lang w:eastAsia="it-IT"/>
        </w:rPr>
        <w:br/>
        <w:t xml:space="preserve">Fabbro </w:t>
      </w:r>
      <w:proofErr w:type="spellStart"/>
      <w:r w:rsidRPr="001839E3">
        <w:rPr>
          <w:rFonts w:ascii="Times New Roman" w:eastAsia="Times New Roman" w:hAnsi="Times New Roman" w:cs="Times New Roman"/>
          <w:color w:val="3D3B39"/>
          <w:lang w:eastAsia="it-IT"/>
        </w:rPr>
        <w:t>S.p.A</w:t>
      </w:r>
      <w:proofErr w:type="spellEnd"/>
      <w:r w:rsidRPr="001839E3">
        <w:rPr>
          <w:rFonts w:ascii="Times New Roman" w:eastAsia="Times New Roman" w:hAnsi="Times New Roman" w:cs="Times New Roman"/>
          <w:color w:val="3D3B39"/>
          <w:lang w:eastAsia="it-IT"/>
        </w:rPr>
        <w:t xml:space="preserve">, in persona del legale rappresentante </w:t>
      </w:r>
      <w:proofErr w:type="spellStart"/>
      <w:r w:rsidRPr="001839E3">
        <w:rPr>
          <w:rFonts w:ascii="Times New Roman" w:eastAsia="Times New Roman" w:hAnsi="Times New Roman" w:cs="Times New Roman"/>
          <w:color w:val="3D3B39"/>
          <w:lang w:eastAsia="it-IT"/>
        </w:rPr>
        <w:t>p.t.</w:t>
      </w:r>
      <w:proofErr w:type="spellEnd"/>
      <w:r w:rsidRPr="001839E3">
        <w:rPr>
          <w:rFonts w:ascii="Times New Roman" w:eastAsia="Times New Roman" w:hAnsi="Times New Roman" w:cs="Times New Roman"/>
          <w:color w:val="3D3B39"/>
          <w:lang w:eastAsia="it-IT"/>
        </w:rPr>
        <w:t xml:space="preserve">, rappresentata e difesa dall'avvocato Gianfranco Meazza, con domicilio eletto presso lo studio dell’avv. Massimo </w:t>
      </w:r>
      <w:proofErr w:type="spellStart"/>
      <w:r w:rsidRPr="001839E3">
        <w:rPr>
          <w:rFonts w:ascii="Times New Roman" w:eastAsia="Times New Roman" w:hAnsi="Times New Roman" w:cs="Times New Roman"/>
          <w:color w:val="3D3B39"/>
          <w:lang w:eastAsia="it-IT"/>
        </w:rPr>
        <w:t>Colarizi</w:t>
      </w:r>
      <w:proofErr w:type="spellEnd"/>
      <w:r w:rsidRPr="001839E3">
        <w:rPr>
          <w:rFonts w:ascii="Times New Roman" w:eastAsia="Times New Roman" w:hAnsi="Times New Roman" w:cs="Times New Roman"/>
          <w:color w:val="3D3B39"/>
          <w:lang w:eastAsia="it-IT"/>
        </w:rPr>
        <w:t xml:space="preserve"> in Roma, viale Bruno </w:t>
      </w:r>
      <w:proofErr w:type="spellStart"/>
      <w:r w:rsidRPr="001839E3">
        <w:rPr>
          <w:rFonts w:ascii="Times New Roman" w:eastAsia="Times New Roman" w:hAnsi="Times New Roman" w:cs="Times New Roman"/>
          <w:color w:val="3D3B39"/>
          <w:lang w:eastAsia="it-IT"/>
        </w:rPr>
        <w:t>Buozzi</w:t>
      </w:r>
      <w:proofErr w:type="spellEnd"/>
      <w:r w:rsidRPr="001839E3">
        <w:rPr>
          <w:rFonts w:ascii="Times New Roman" w:eastAsia="Times New Roman" w:hAnsi="Times New Roman" w:cs="Times New Roman"/>
          <w:color w:val="3D3B39"/>
          <w:lang w:eastAsia="it-IT"/>
        </w:rPr>
        <w:t xml:space="preserve"> 87;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contro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Azienda Socio Sanitaria Territoriale – ASST Fatebenefratelli Sacco, in persona del legale rappresentante </w:t>
      </w:r>
      <w:proofErr w:type="spellStart"/>
      <w:r w:rsidRPr="001839E3">
        <w:rPr>
          <w:rFonts w:ascii="Times New Roman" w:eastAsia="Times New Roman" w:hAnsi="Times New Roman" w:cs="Times New Roman"/>
          <w:color w:val="3D3B39"/>
          <w:lang w:eastAsia="it-IT"/>
        </w:rPr>
        <w:t>p.t.</w:t>
      </w:r>
      <w:proofErr w:type="spellEnd"/>
      <w:r w:rsidRPr="001839E3">
        <w:rPr>
          <w:rFonts w:ascii="Times New Roman" w:eastAsia="Times New Roman" w:hAnsi="Times New Roman" w:cs="Times New Roman"/>
          <w:color w:val="3D3B39"/>
          <w:lang w:eastAsia="it-IT"/>
        </w:rPr>
        <w:t xml:space="preserve">, rappresentata e difesa dall'avvocato Sergio Carnevale, con domicilio eletto presso lo studio Maurizio Spinella in Roma, via dei Dardanelli n. 46;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nei confronti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Ge.Ri</w:t>
      </w:r>
      <w:proofErr w:type="spellEnd"/>
      <w:r w:rsidRPr="001839E3">
        <w:rPr>
          <w:rFonts w:ascii="Times New Roman" w:eastAsia="Times New Roman" w:hAnsi="Times New Roman" w:cs="Times New Roman"/>
          <w:color w:val="3D3B39"/>
          <w:lang w:eastAsia="it-IT"/>
        </w:rPr>
        <w:t xml:space="preserve"> S.r.l., in persona del legale rappresentante </w:t>
      </w:r>
      <w:proofErr w:type="spellStart"/>
      <w:r w:rsidRPr="001839E3">
        <w:rPr>
          <w:rFonts w:ascii="Times New Roman" w:eastAsia="Times New Roman" w:hAnsi="Times New Roman" w:cs="Times New Roman"/>
          <w:color w:val="3D3B39"/>
          <w:lang w:eastAsia="it-IT"/>
        </w:rPr>
        <w:t>p.t.</w:t>
      </w:r>
      <w:proofErr w:type="spellEnd"/>
      <w:r w:rsidRPr="001839E3">
        <w:rPr>
          <w:rFonts w:ascii="Times New Roman" w:eastAsia="Times New Roman" w:hAnsi="Times New Roman" w:cs="Times New Roman"/>
          <w:color w:val="3D3B39"/>
          <w:lang w:eastAsia="it-IT"/>
        </w:rPr>
        <w:t xml:space="preserve">, rappresentata e difesa dagli avvocati Jacopo Emilio Paolo </w:t>
      </w:r>
      <w:proofErr w:type="spellStart"/>
      <w:r w:rsidRPr="001839E3">
        <w:rPr>
          <w:rFonts w:ascii="Times New Roman" w:eastAsia="Times New Roman" w:hAnsi="Times New Roman" w:cs="Times New Roman"/>
          <w:color w:val="3D3B39"/>
          <w:lang w:eastAsia="it-IT"/>
        </w:rPr>
        <w:t>Recla</w:t>
      </w:r>
      <w:proofErr w:type="spellEnd"/>
      <w:r w:rsidRPr="001839E3">
        <w:rPr>
          <w:rFonts w:ascii="Times New Roman" w:eastAsia="Times New Roman" w:hAnsi="Times New Roman" w:cs="Times New Roman"/>
          <w:color w:val="3D3B39"/>
          <w:lang w:eastAsia="it-IT"/>
        </w:rPr>
        <w:t xml:space="preserve"> e Andrea Manzi, con domicilio eletto presso lo studio di quest’ultimo in Roma, via Federico Confalonieri n. 5;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per la riforma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della sentenza del T.A.R. LOMBARDIA – MILANO, SEZ. IV n. 02337/2017, resa tra le parti, concernente l’affidamento della gestione del servizio bar e rivendita giornali all’interno del presidio ospedaliero “Vittore Buzzi” di Milano.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Visti il ricorso in appello e i relativi allegati;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Visti gli atti di costituzione in giudizio di </w:t>
      </w:r>
      <w:proofErr w:type="spellStart"/>
      <w:r w:rsidRPr="001839E3">
        <w:rPr>
          <w:rFonts w:ascii="Times New Roman" w:eastAsia="Times New Roman" w:hAnsi="Times New Roman" w:cs="Times New Roman"/>
          <w:color w:val="3D3B39"/>
          <w:lang w:eastAsia="it-IT"/>
        </w:rPr>
        <w:t>Ge.Ri</w:t>
      </w:r>
      <w:proofErr w:type="spellEnd"/>
      <w:r w:rsidRPr="001839E3">
        <w:rPr>
          <w:rFonts w:ascii="Times New Roman" w:eastAsia="Times New Roman" w:hAnsi="Times New Roman" w:cs="Times New Roman"/>
          <w:color w:val="3D3B39"/>
          <w:lang w:eastAsia="it-IT"/>
        </w:rPr>
        <w:t xml:space="preserve"> S.r.l. e di </w:t>
      </w:r>
      <w:proofErr w:type="spellStart"/>
      <w:r w:rsidRPr="001839E3">
        <w:rPr>
          <w:rFonts w:ascii="Times New Roman" w:eastAsia="Times New Roman" w:hAnsi="Times New Roman" w:cs="Times New Roman"/>
          <w:color w:val="3D3B39"/>
          <w:lang w:eastAsia="it-IT"/>
        </w:rPr>
        <w:t>Asst</w:t>
      </w:r>
      <w:proofErr w:type="spellEnd"/>
      <w:r w:rsidRPr="001839E3">
        <w:rPr>
          <w:rFonts w:ascii="Times New Roman" w:eastAsia="Times New Roman" w:hAnsi="Times New Roman" w:cs="Times New Roman"/>
          <w:color w:val="3D3B39"/>
          <w:lang w:eastAsia="it-IT"/>
        </w:rPr>
        <w:t xml:space="preserve"> Fatebenefratelli Sacco;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Viste le memorie difensive;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Visti tutti gli atti della causa;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Visti gli artt. 74 e 120, co. 10, cod. </w:t>
      </w:r>
      <w:proofErr w:type="spellStart"/>
      <w:r w:rsidRPr="001839E3">
        <w:rPr>
          <w:rFonts w:ascii="Times New Roman" w:eastAsia="Times New Roman" w:hAnsi="Times New Roman" w:cs="Times New Roman"/>
          <w:color w:val="3D3B39"/>
          <w:lang w:eastAsia="it-IT"/>
        </w:rPr>
        <w:t>proc</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amm</w:t>
      </w:r>
      <w:proofErr w:type="spellEnd"/>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Relatore nell'udienza pubblica del giorno 17 maggio 2018 il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xml:space="preserve">. Giovanni Pescatore e uditi per le parti gli avvocati Gianfranco Meazza, Sergio Carnevale, Andrea Manzi e Jacopo Emilio Paolo </w:t>
      </w:r>
      <w:proofErr w:type="spellStart"/>
      <w:r w:rsidRPr="001839E3">
        <w:rPr>
          <w:rFonts w:ascii="Times New Roman" w:eastAsia="Times New Roman" w:hAnsi="Times New Roman" w:cs="Times New Roman"/>
          <w:color w:val="3D3B39"/>
          <w:lang w:eastAsia="it-IT"/>
        </w:rPr>
        <w:t>Recla</w:t>
      </w:r>
      <w:proofErr w:type="spellEnd"/>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Ritenuto e considerato in fatto e diritto quanto segue.</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FATTO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1. L’Azienda Socio Sanitaria Territoriale “Fatebenefratelli Sacco” di Milano (“ASST”) ha indetto una gara d’appalto con procedura aperta per la gestione di taluni servizi, fra cui - con riguardo al lotto n. 2, l’unico qui di interesse - la gestione del servizio bar e rivendita giornali posto all’interno del presidio ospedaliero </w:t>
      </w:r>
      <w:r w:rsidRPr="001839E3">
        <w:rPr>
          <w:rFonts w:ascii="Times New Roman" w:eastAsia="Times New Roman" w:hAnsi="Times New Roman" w:cs="Times New Roman"/>
          <w:color w:val="3D3B39"/>
          <w:lang w:eastAsia="it-IT"/>
        </w:rPr>
        <w:lastRenderedPageBreak/>
        <w:t>“Vittore Buzzi” di Milano.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L’aggiudicazione avrebbe dovuto seguire il criterio dell’offerta economicamente più vantaggiosa, con l’attribuzione di un massimo di 60 punti all’offerta economica e di 40 punti alla qualità del servizio.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Ai fini dell’ammissione alla fase di valutazione dell’offerta economica, era necessario conseguire un punteggio qualitativo minimo di 21 punti su 40.</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2. La società </w:t>
      </w:r>
      <w:proofErr w:type="spellStart"/>
      <w:r w:rsidRPr="001839E3">
        <w:rPr>
          <w:rFonts w:ascii="Times New Roman" w:eastAsia="Times New Roman" w:hAnsi="Times New Roman" w:cs="Times New Roman"/>
          <w:color w:val="3D3B39"/>
          <w:lang w:eastAsia="it-IT"/>
        </w:rPr>
        <w:t>Ge.Ri</w:t>
      </w:r>
      <w:proofErr w:type="spellEnd"/>
      <w:r w:rsidRPr="001839E3">
        <w:rPr>
          <w:rFonts w:ascii="Times New Roman" w:eastAsia="Times New Roman" w:hAnsi="Times New Roman" w:cs="Times New Roman"/>
          <w:color w:val="3D3B39"/>
          <w:lang w:eastAsia="it-IT"/>
        </w:rPr>
        <w:t xml:space="preserve"> S.r.l. ha presentato offerta per il succitato lotto n. 2, ma non è stata ammessa alla prosecuzione della gara a causa del mancato raggiungimento della soglia minima di 21/40 punti.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3. La società ha quindi impugnato il provvedimento di esclusione, unitamente ad altri atti di gara, estendendo poi l’impugnativa, con un primo ricorso per motivi di aggiunti, nei confronti del provvedimento di aggiudicazione nel frattempo intervenuto in favore della società Fabbro S.p.a. (con determinazione del direttore generale dell’Azienda n. 394 del 27.4.2017).</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Un secondo ricorso per motivi aggiunti è stato poi proposto contro i medesimi provvedimenti in precedenza gravati, a seguito dell’accesso di </w:t>
      </w:r>
      <w:proofErr w:type="spellStart"/>
      <w:r w:rsidRPr="001839E3">
        <w:rPr>
          <w:rFonts w:ascii="Times New Roman" w:eastAsia="Times New Roman" w:hAnsi="Times New Roman" w:cs="Times New Roman"/>
          <w:color w:val="3D3B39"/>
          <w:lang w:eastAsia="it-IT"/>
        </w:rPr>
        <w:t>Ge.Ri</w:t>
      </w:r>
      <w:proofErr w:type="spellEnd"/>
      <w:r w:rsidRPr="001839E3">
        <w:rPr>
          <w:rFonts w:ascii="Times New Roman" w:eastAsia="Times New Roman" w:hAnsi="Times New Roman" w:cs="Times New Roman"/>
          <w:color w:val="3D3B39"/>
          <w:lang w:eastAsia="it-IT"/>
        </w:rPr>
        <w:t xml:space="preserve"> a tutti i documenti di gara richiesti all’ASST e da quest’ultima rilasciati.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4. Nel contraddittorio con l’ASST e Fabbro S.p.a., il Tar Milano ha accolto il ricorso, con la sentenza n. 2337/2017, a tal fine delibando positivamente la censura con la quale erano state stigmatizzate l’eccessiva genericità o comunque la non sufficiente determinatezza e univocità dei quattro parametri per l’attribuzione del complessivo punteggio tecnico di 40 punti (la cui descrizione è contenuta nella tabella compresa nell’art. 11 del disciplinare).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Da tale inziale constatazione il Tar ha ricavato la conclusione che, a fronte di parametri valutativi implicanti un significativo margine di libertà nella elaborazione delle proposte tecniche di gestione del servizio e un altrettanto margine di discrezionalità valutativa da parte dei Commissari, l’attribuzione del punteggio qualitativo non potesse essere effettuata con un semplice dato numerico senza altro aggiungere, stante la sostanziale impossibilità che ne sarebbe derivata di comprendere le ragioni della preferenza accordata ad un progetto tecnico rispetto da un altro.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5. La pronuncia è stata appellata nella presente sede da Fabbro S.p.a., sulla base dei seguenti rilievi critici: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 il giudice di primo grado avrebbe impropriamente sovrapposto il concetto di elasticità dei criteri di valutazione (funzionale al legittimo perseguimento da parte della stazione appaltante di soluzioni innovative e qualitativamente migliorative) con quello di genericità e indeterminatezza. Nondimeno, i citati criteri “presentano una sufficiente griglia di perimetrazione e rappresentano già un significativo strumento di indirizzo della discrezionalità tecnica attribuita alla Commissione di gara”, sicché in relazione agli stessi il metodo del confronto a coppie risulta del tutto praticabile mediante la mera attribuzione di un punteggio numerico privo di motivazione letterale. E’ dunque infondata la censura erroneamente accolta dal Tar, riferita alla lamentata attribuzione dei punteggi numerici senza motivazione letterale;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II) la differente modalità di valutazione intercorsa tra il lotto 1 e 2 deriva dal fatto che nel primo le offerte erano due, sicché in relazione alle stesse non poteva trovare applicazione il metodo del confronto a coppie (per mancanza di coppie) ma si rendeva necessario l’impiego di motivazioni letterali; analoga esigenza non si è posta per il lotto 2, nel quale le offerte erano sei e i plurimi confronti incrociati hanno consentito il ricorso alla motivazione meramente numerica;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III) per il lotto 2 sarebbe stato praticamente impossibile fornire, nel metodo di valutazione del confronto a coppie, una motivazione di tipo letterale dei giudizi espressi con riguardo ai diversi parametri, in quanto sarebbero state necessarie 180 motivazioni letterali complessive.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6. La ASST Fatebenefratelli Sacco e la </w:t>
      </w:r>
      <w:proofErr w:type="spellStart"/>
      <w:r w:rsidRPr="001839E3">
        <w:rPr>
          <w:rFonts w:ascii="Times New Roman" w:eastAsia="Times New Roman" w:hAnsi="Times New Roman" w:cs="Times New Roman"/>
          <w:color w:val="3D3B39"/>
          <w:lang w:eastAsia="it-IT"/>
        </w:rPr>
        <w:t>Ge.Ri</w:t>
      </w:r>
      <w:proofErr w:type="spellEnd"/>
      <w:r w:rsidRPr="001839E3">
        <w:rPr>
          <w:rFonts w:ascii="Times New Roman" w:eastAsia="Times New Roman" w:hAnsi="Times New Roman" w:cs="Times New Roman"/>
          <w:color w:val="3D3B39"/>
          <w:lang w:eastAsia="it-IT"/>
        </w:rPr>
        <w:t xml:space="preserve">. S.r.l. si sono ritualmente costituite in giudizio, opponendosi alle deduzioni avversarie e chiedendone il rigetto.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br/>
        <w:t xml:space="preserve">La </w:t>
      </w:r>
      <w:proofErr w:type="spellStart"/>
      <w:r w:rsidRPr="001839E3">
        <w:rPr>
          <w:rFonts w:ascii="Times New Roman" w:eastAsia="Times New Roman" w:hAnsi="Times New Roman" w:cs="Times New Roman"/>
          <w:color w:val="3D3B39"/>
          <w:lang w:eastAsia="it-IT"/>
        </w:rPr>
        <w:t>Ge.Ri</w:t>
      </w:r>
      <w:proofErr w:type="spellEnd"/>
      <w:r w:rsidRPr="001839E3">
        <w:rPr>
          <w:rFonts w:ascii="Times New Roman" w:eastAsia="Times New Roman" w:hAnsi="Times New Roman" w:cs="Times New Roman"/>
          <w:color w:val="3D3B39"/>
          <w:lang w:eastAsia="it-IT"/>
        </w:rPr>
        <w:t xml:space="preserve">., con memoria del 13.2.2018, ha inoltre riproposto ai sensi dell’art. 101 comma 2 </w:t>
      </w:r>
      <w:proofErr w:type="spellStart"/>
      <w:r w:rsidRPr="001839E3">
        <w:rPr>
          <w:rFonts w:ascii="Times New Roman" w:eastAsia="Times New Roman" w:hAnsi="Times New Roman" w:cs="Times New Roman"/>
          <w:color w:val="3D3B39"/>
          <w:lang w:eastAsia="it-IT"/>
        </w:rPr>
        <w:t>c.p.a</w:t>
      </w:r>
      <w:proofErr w:type="spellEnd"/>
      <w:r w:rsidRPr="001839E3">
        <w:rPr>
          <w:rFonts w:ascii="Times New Roman" w:eastAsia="Times New Roman" w:hAnsi="Times New Roman" w:cs="Times New Roman"/>
          <w:color w:val="3D3B39"/>
          <w:lang w:eastAsia="it-IT"/>
        </w:rPr>
        <w:t xml:space="preserve">. le domande avanzate nel giudizio di primo grado e dichiarate assorbite o non esaminate dal Tar.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7. A seguito dell’accoglimento dell’istanza cautelare (disposto con ordinanza n. 688/2018), espletato lo scambio di memorie ex art. 73 </w:t>
      </w:r>
      <w:proofErr w:type="spellStart"/>
      <w:r w:rsidRPr="001839E3">
        <w:rPr>
          <w:rFonts w:ascii="Times New Roman" w:eastAsia="Times New Roman" w:hAnsi="Times New Roman" w:cs="Times New Roman"/>
          <w:color w:val="3D3B39"/>
          <w:lang w:eastAsia="it-IT"/>
        </w:rPr>
        <w:t>c.p.a</w:t>
      </w:r>
      <w:proofErr w:type="spellEnd"/>
      <w:r w:rsidRPr="001839E3">
        <w:rPr>
          <w:rFonts w:ascii="Times New Roman" w:eastAsia="Times New Roman" w:hAnsi="Times New Roman" w:cs="Times New Roman"/>
          <w:color w:val="3D3B39"/>
          <w:lang w:eastAsia="it-IT"/>
        </w:rPr>
        <w:t>., la causa è stata discussa e posta in decisione all’udienza pubblica del 17 maggio 2018.</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DIRITTO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1. Occorre premettere che, con riguardo al lotto 2 relativo alla “Gestione del servizio bar e della rivendita giornali, posto all’interno del Presidio Ospedaliero Vittore Buzzi”, l’art. 11.1 del disciplinare ha disposto la ripartizione dei 40 punti riservati alla qualità del servizio secondo i quattro parametri di seguito specificati: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 Parametro A (fino a </w:t>
      </w:r>
      <w:proofErr w:type="spellStart"/>
      <w:r w:rsidRPr="001839E3">
        <w:rPr>
          <w:rFonts w:ascii="Times New Roman" w:eastAsia="Times New Roman" w:hAnsi="Times New Roman" w:cs="Times New Roman"/>
          <w:color w:val="3D3B39"/>
          <w:lang w:eastAsia="it-IT"/>
        </w:rPr>
        <w:t>max</w:t>
      </w:r>
      <w:proofErr w:type="spellEnd"/>
      <w:r w:rsidRPr="001839E3">
        <w:rPr>
          <w:rFonts w:ascii="Times New Roman" w:eastAsia="Times New Roman" w:hAnsi="Times New Roman" w:cs="Times New Roman"/>
          <w:color w:val="3D3B39"/>
          <w:lang w:eastAsia="it-IT"/>
        </w:rPr>
        <w:t xml:space="preserve"> punti 15): sistema organizzativo di erogazione del servizio, relazione sul personale impiegato per l’esecuzione del servizio con indicazione di numero, qualifiche, mansioni e modalità per garantire le sostituzioni per ferie e malattie, nonché programmi di formazione/aggiornamento del personale;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 Parametro B (fino a </w:t>
      </w:r>
      <w:proofErr w:type="spellStart"/>
      <w:r w:rsidRPr="001839E3">
        <w:rPr>
          <w:rFonts w:ascii="Times New Roman" w:eastAsia="Times New Roman" w:hAnsi="Times New Roman" w:cs="Times New Roman"/>
          <w:color w:val="3D3B39"/>
          <w:lang w:eastAsia="it-IT"/>
        </w:rPr>
        <w:t>max</w:t>
      </w:r>
      <w:proofErr w:type="spellEnd"/>
      <w:r w:rsidRPr="001839E3">
        <w:rPr>
          <w:rFonts w:ascii="Times New Roman" w:eastAsia="Times New Roman" w:hAnsi="Times New Roman" w:cs="Times New Roman"/>
          <w:color w:val="3D3B39"/>
          <w:lang w:eastAsia="it-IT"/>
        </w:rPr>
        <w:t xml:space="preserve"> punti 10): proposta merceologica, con indicazione della gamma e della qualità dei prodotti messi in vendita (marca, descrizione, confezionamento, quantità/peso per confezione ecc.), allegando altresì le schede tecniche dei principali prodotti utilizzati;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Parametro C (fino a </w:t>
      </w:r>
      <w:proofErr w:type="spellStart"/>
      <w:r w:rsidRPr="001839E3">
        <w:rPr>
          <w:rFonts w:ascii="Times New Roman" w:eastAsia="Times New Roman" w:hAnsi="Times New Roman" w:cs="Times New Roman"/>
          <w:color w:val="3D3B39"/>
          <w:lang w:eastAsia="it-IT"/>
        </w:rPr>
        <w:t>max</w:t>
      </w:r>
      <w:proofErr w:type="spellEnd"/>
      <w:r w:rsidRPr="001839E3">
        <w:rPr>
          <w:rFonts w:ascii="Times New Roman" w:eastAsia="Times New Roman" w:hAnsi="Times New Roman" w:cs="Times New Roman"/>
          <w:color w:val="3D3B39"/>
          <w:lang w:eastAsia="it-IT"/>
        </w:rPr>
        <w:t xml:space="preserve"> punti 10): proposta relativa al mantenimento ed al miglioramento del grado di efficienza delle apparecchiature e degli arredi nonché degli ambienti ove si svolge il servizio bar;</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Parametro D (fino a </w:t>
      </w:r>
      <w:proofErr w:type="spellStart"/>
      <w:r w:rsidRPr="001839E3">
        <w:rPr>
          <w:rFonts w:ascii="Times New Roman" w:eastAsia="Times New Roman" w:hAnsi="Times New Roman" w:cs="Times New Roman"/>
          <w:color w:val="3D3B39"/>
          <w:lang w:eastAsia="it-IT"/>
        </w:rPr>
        <w:t>max</w:t>
      </w:r>
      <w:proofErr w:type="spellEnd"/>
      <w:r w:rsidRPr="001839E3">
        <w:rPr>
          <w:rFonts w:ascii="Times New Roman" w:eastAsia="Times New Roman" w:hAnsi="Times New Roman" w:cs="Times New Roman"/>
          <w:color w:val="3D3B39"/>
          <w:lang w:eastAsia="it-IT"/>
        </w:rPr>
        <w:t xml:space="preserve"> punti 5): soluzioni migliorative che integrano la proposta progettuale a totale carico dell’offerente.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2. La pronuncia di primo grado, pur riconoscendo l’astratta praticabilità del metodo del confronto a coppie mediante l’attribuzione di punteggi numerici, ha tuttavia chiarito come ciò sia possibile nei soli casi in cui la chiara e precisa predeterminazione dei criteri di valutazione delle offerte è tale da consentire al privato di comprendere le ragioni dei giudizi espressi dalla Commissione ed al giudice amministrativo di verificare e sindacare la scelta discrezionale così operata.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Nel caso di specie, sempre secondo la pronuncia del Tar, la consistenza “generica” o “elastica” dei parametri sopra richiamati, combinata con la possibilità per ogni commissario di attribuire nel confronto a coppie un grado di preferenza da uno (parità) a sei (preferenza massima, cfr. ancora il più volte citato art. 11 del disciplinare), ha reso oggettivamente impossibile la comprensione delle ragioni della preferenza accordata ad un progetto tecnico di gestione rispetto da un altro.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3. Questo Collegio, correggendo la prognosi di plausibile fondatezza dell’appello espressa in fase cautelare, ritiene di dover condividere la tesi motivazionale adottata dal giudice di primo grado.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In tema di attribuzione del punteggio numerico in applicazione del metodo del confronto a coppie, questa stessa Sezione ha di recente puntualizzato, con riguardo ad una fattispecie strutturalmente non dissimile da quella qui in oggetto e con argomentazioni estensibili anche al caso in esame, che: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nel confronto a coppie, la motivazione può ritenersi insita nei punteggi purché il bando contenga a monte criteri di valutazione sufficientemente dettagliati che consentano di risalire con immediatezza dalla ponderazione numerica alla valutazione ad essa sottesa;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 a fronte di parametri valutativi che si articolano in </w:t>
      </w:r>
      <w:proofErr w:type="spellStart"/>
      <w:r w:rsidRPr="001839E3">
        <w:rPr>
          <w:rFonts w:ascii="Times New Roman" w:eastAsia="Times New Roman" w:hAnsi="Times New Roman" w:cs="Times New Roman"/>
          <w:color w:val="3D3B39"/>
          <w:lang w:eastAsia="it-IT"/>
        </w:rPr>
        <w:t>sottocriteri</w:t>
      </w:r>
      <w:proofErr w:type="spellEnd"/>
      <w:r w:rsidRPr="001839E3">
        <w:rPr>
          <w:rFonts w:ascii="Times New Roman" w:eastAsia="Times New Roman" w:hAnsi="Times New Roman" w:cs="Times New Roman"/>
          <w:color w:val="3D3B39"/>
          <w:lang w:eastAsia="it-IT"/>
        </w:rPr>
        <w:t xml:space="preserve"> plurimi, la mancata valorizzare di questi ultimi, mediante il conferimento agli stessi di un specifico peso ponderale nella formulazione dei punteggi, rende di fatto impossibile comprendere, dalla sola lettura delle griglie valutative elaborate dalla Commissione, sotto quale specifico profilo tecnico una offerta sia stata ritenuta preferibile alle altre;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br/>
        <w:t>- risulta così violata la stessa logica comparativa che sovraintende la modalità del confronto a coppie, finendo questo per risolversi nell’affermazione apodittica e non intellegibile della asserita superiorità di una proposta sull’altra, senza che tuttavia emergano le ragioni e le caratteristiche tecniche che hanno orientato tale giudizio di preferenza;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 allorché le censure proposte sono dirette ad ottenere la riedizione della procedura, secondo modalità conformi a legge, e non il conseguimento di una immediata collocazione utile nella graduatoria impugnata, non sussiste in capo al deducente l'onere di fornire alcuna prova di resistenza (cfr. </w:t>
      </w:r>
      <w:proofErr w:type="spellStart"/>
      <w:r w:rsidRPr="001839E3">
        <w:rPr>
          <w:rFonts w:ascii="Times New Roman" w:eastAsia="Times New Roman" w:hAnsi="Times New Roman" w:cs="Times New Roman"/>
          <w:color w:val="3D3B39"/>
          <w:lang w:eastAsia="it-IT"/>
        </w:rPr>
        <w:t>Cons</w:t>
      </w:r>
      <w:proofErr w:type="spellEnd"/>
      <w:r w:rsidRPr="001839E3">
        <w:rPr>
          <w:rFonts w:ascii="Times New Roman" w:eastAsia="Times New Roman" w:hAnsi="Times New Roman" w:cs="Times New Roman"/>
          <w:color w:val="3D3B39"/>
          <w:lang w:eastAsia="it-IT"/>
        </w:rPr>
        <w:t>. Stato, sez. III, 164.2018 n. 2258).</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4. Ciò posto, il campo oggetto della presente contesa d’appello va sgombrato da una serie di tematiche pure evocate dalle parti ma non rilevanti ai fini della decisione, riguardanti da un lato la legittima pretesa della stazione appaltante di orientare il confronto competitivo verso elaborazioni progettuali innovative; e, dall’altro, la astratta compatibilità del punteggio numerico con un corretto metodologia di confronto a coppie.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Si tratta di assunti in linea astratta certamente corretti e non messi in forse dalla pronuncia del primo giudice, ma esulanti dalla reale trama logica della sentenza appellata, la quale ha invece evidenziato come nel contesto della procedura di gara in esame, e per effetto della mera attribuzione del punteggio numerico associata a criteri valutativi di tenore “generico”, non si sia realizzato l’obiettivo – essenziale in ogni confronto competitivo, in quanto rispondente ai principi buon andamento e imparzialità dell’azione amministrativa (97 </w:t>
      </w:r>
      <w:proofErr w:type="spellStart"/>
      <w:r w:rsidRPr="001839E3">
        <w:rPr>
          <w:rFonts w:ascii="Times New Roman" w:eastAsia="Times New Roman" w:hAnsi="Times New Roman" w:cs="Times New Roman"/>
          <w:color w:val="3D3B39"/>
          <w:lang w:eastAsia="it-IT"/>
        </w:rPr>
        <w:t>Cost</w:t>
      </w:r>
      <w:proofErr w:type="spellEnd"/>
      <w:r w:rsidRPr="001839E3">
        <w:rPr>
          <w:rFonts w:ascii="Times New Roman" w:eastAsia="Times New Roman" w:hAnsi="Times New Roman" w:cs="Times New Roman"/>
          <w:color w:val="3D3B39"/>
          <w:lang w:eastAsia="it-IT"/>
        </w:rPr>
        <w:t xml:space="preserve">.) – di rendere sufficientemente comprensibile e verificabile l’iter logico sotteso alle preferenze espresse dalla Commissione giudicatrice.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5. Tale valutazione appare condivisibile, se si considera che ognuno dei quattro parametri valutativi individuati dall’art. 11.1 del disciplinare ai fini della ripartizione dei 40 punti riservati alla qualità del servizio, reca in sé elementi di contenuto plurimo e complesso, non riconducibili ad un riferimento univoco e comunque non organizzati secondo criteri d’ordine o di peso ponderale in grado di chiarirne la specifica incidenza nella determinazione delle preferenze e dei punteggi.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 Così, il parametro di valutazione “A” (“Sistema organizzativo di erogazione del servizio”, relazione sul personale impiegato per l’esecuzione del servizio con indicazione di numero, qualifiche, mansioni e modalità per garantire le sostituzioni per ferie e malattie, nonché programmi di formazione/aggiornamento del personale”) non specifica sulla base di quali elementi concreti e obiettivi i commissari avrebbero dovuto esprimere la propria preferenza sul “Sistema organizzativo di erogazione del servizio” e attribuire i ben 15 punti previsti, giacché: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 in esso si assommano plurimi ed eterogenei profili (“numero, qualifiche, mansioni e modalità” nonché “programmi di formazione/ aggiornamento”) ma non viene indicato un ordine di importanza nel quale gli stessi verranno valutati o pesati tra di loro;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(ii) non risulta specificata alcuna modalità di preferenza tra le “qualifiche”, le “mansioni” e le “modalità per garantire le sostituzioni per ferie e malattie”, né risulta indicato alcun criterio d’ordine o di gerarchia nel quale tali variabili sarebbero state ponderate nel confronto a coppie;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(iii) l’indicazione dei “programmi di formazione/aggiornamento del personale” appare non sufficientemente determinata, non risultando chiaro a quali “qualifiche” o “mansioni” essa si riferisca;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anche il parametro di valutazione “B” (“Proposta merceologica, con indicazione della gamma e della qualità dei prodotti messi in vendita (marca, descrizione, confezionamento, quantità/peso per confezione ecc.), allegando altresì le schede tecniche dei principali prodotti utilizzati”) non specifica sulla base di quali elementi concreti e obiettivi i commissari avrebbero dovuto esprimere la propria preferenza sulla “Proposta merceologica” e attribuire i ben 10 punti previsti, giacché:</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(i) non risulta indicato un ordine di importanza dei profili in esso genericamente indicati, quali la “gamma” e </w:t>
      </w:r>
      <w:r w:rsidRPr="001839E3">
        <w:rPr>
          <w:rFonts w:ascii="Times New Roman" w:eastAsia="Times New Roman" w:hAnsi="Times New Roman" w:cs="Times New Roman"/>
          <w:color w:val="3D3B39"/>
          <w:lang w:eastAsia="it-IT"/>
        </w:rPr>
        <w:lastRenderedPageBreak/>
        <w:t xml:space="preserve">la tipologia di “prodotti”;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(ii) non figura alcuna indicazione di preferenza circa la composizione (eterogenea o specifica) della selezione di alimenti da offrire, ovvero circa la tipologia di prodotti di maggiore gradimento (tradizionali; energetici; </w:t>
      </w:r>
      <w:proofErr w:type="spellStart"/>
      <w:r w:rsidRPr="001839E3">
        <w:rPr>
          <w:rFonts w:ascii="Times New Roman" w:eastAsia="Times New Roman" w:hAnsi="Times New Roman" w:cs="Times New Roman"/>
          <w:color w:val="3D3B39"/>
          <w:lang w:eastAsia="it-IT"/>
        </w:rPr>
        <w:t>gluten</w:t>
      </w:r>
      <w:proofErr w:type="spellEnd"/>
      <w:r w:rsidRPr="001839E3">
        <w:rPr>
          <w:rFonts w:ascii="Times New Roman" w:eastAsia="Times New Roman" w:hAnsi="Times New Roman" w:cs="Times New Roman"/>
          <w:color w:val="3D3B39"/>
          <w:lang w:eastAsia="it-IT"/>
        </w:rPr>
        <w:t xml:space="preserve"> free; light; dedicati a soggetti con colesterolo alto; destinati ai bambini; </w:t>
      </w:r>
      <w:proofErr w:type="spellStart"/>
      <w:r w:rsidRPr="001839E3">
        <w:rPr>
          <w:rFonts w:ascii="Times New Roman" w:eastAsia="Times New Roman" w:hAnsi="Times New Roman" w:cs="Times New Roman"/>
          <w:color w:val="3D3B39"/>
          <w:lang w:eastAsia="it-IT"/>
        </w:rPr>
        <w:t>d.o.p</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d.o.c.</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i.g.p</w:t>
      </w:r>
      <w:proofErr w:type="spellEnd"/>
      <w:r w:rsidRPr="001839E3">
        <w:rPr>
          <w:rFonts w:ascii="Times New Roman" w:eastAsia="Times New Roman" w:hAnsi="Times New Roman" w:cs="Times New Roman"/>
          <w:color w:val="3D3B39"/>
          <w:lang w:eastAsia="it-IT"/>
        </w:rPr>
        <w:t>.; vegani; vegetariani; etc.);</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(iii) analoghe carenze emergono con riguardo alla rilevanza attribuibile alle “marche” o alla “descrizione” dei prodotti;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le richiamate considerazioni critiche si estendono al parametro di valutazione “C” (“Proposta relativa al mantenimento ed al miglioramento del grado di efficienza delle apparecchiature e degli arredi nonché degli ambienti ove si svolge il servizio bar”), anche in esso non risultando specificato sulla base di quali elementi concreti e obiettivi i commissari avrebbero dovuto esprimere la propria preferenza sulla “proposta” dei concorrenti e sui profili di “mantenimento” e “miglioramento” ivi indicati;</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del tutto indeterminato risulta infine il parametro di valutazione “D” (“soluzioni migliorative che integrano la proposta progettuale a totale carico dell’offerente”).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6. Il quadro dei parametri valutativi sin qui tracciato ha dunque consegnato alla Commissione giudicatrice una discrezionalità di giudizio non sufficientemente confinata, né adeguatamente controllabile; e l’applicazione concreta che ne è conseguita, mediante attribuzione dei soli punteggi numerici, non ha consentito una corretta esplicazione dell’obbligo motivazionale, la cui funzione è propriamente quella di arginare il rischio di un utilizzo arbitrario del potere discrezionale.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7. Tali lacune non paiono colmate né dalle indicazioni contenute nel capitolato speciale di gara, in quanto le stesse - diversamente da quanto adombrato nell’ordinanza cautelare - non dettano ulteriori criteri di valutazione delle offerte; né dalla relazione illustrativa che doveva accompagnare le proposte tecniche, trattandosi anche qui di documentazione del tutto avulsa - diversamente da quanto sostenuto dalla appellante - dai criteri destinati ad orientare il potere valutativo dei Commissari di gara.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8. L’eccessiva gravosità dell’onere motivazionale di tipo letterale non vale, evidentemente, a superare i rilievi critici sin qui illustrati, né l’esito conformativo della sentenza di primo grado elide l’astratta e alternativa possibilità di interventi in autotutela da parte della stazione appaltante.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9. Per tali decisive ragioni, idonee a giustificare l’esito di accoglimento del ricorso di primo grado, l’appello non può trovare accoglimento.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10. Le questioni vagliate esauriscono la vicenda sottoposta alla Sezione, essendo stati toccati tutti gli aspetti rilevanti a norma dell’art. 112 </w:t>
      </w:r>
      <w:proofErr w:type="spellStart"/>
      <w:r w:rsidRPr="001839E3">
        <w:rPr>
          <w:rFonts w:ascii="Times New Roman" w:eastAsia="Times New Roman" w:hAnsi="Times New Roman" w:cs="Times New Roman"/>
          <w:color w:val="3D3B39"/>
          <w:lang w:eastAsia="it-IT"/>
        </w:rPr>
        <w:t>c.p.c.</w:t>
      </w:r>
      <w:proofErr w:type="spellEnd"/>
      <w:r w:rsidRPr="001839E3">
        <w:rPr>
          <w:rFonts w:ascii="Times New Roman" w:eastAsia="Times New Roman" w:hAnsi="Times New Roman" w:cs="Times New Roman"/>
          <w:color w:val="3D3B39"/>
          <w:lang w:eastAsia="it-IT"/>
        </w:rPr>
        <w:t>, in aderenza al principio sostanziale di corrispondenza tra il chiesto e il pronunciato. Gli argomenti di doglianza non espressamente esaminati sono stati dal Collegio ritenuti non rilevanti ai fini della decisione e, comunque, inidonei a supportare una conclusione di tipo diverso.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11. Si ravvisano giusti motivi per disporre la compensazione delle spese di lite del presente grado di giudizio, tenuto conto della consistenza essenzialmente interpretativa delle questioni trattate e dei profili procedimentali oggetto delle censure accolte.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P.Q.M.</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Il Consiglio di Stato in sede giurisdizionale (Sezione Terza), definitivamente pronunciando sull'appello, come in epigrafe proposto,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lo respinge.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Compensa le spese di lite del presente grado di giudizio.</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t>Ordina che la presente sentenza sia eseguita dall'autorità amministrativa.</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Così deciso in Roma nella camera di consiglio del giorno 17 maggio 2018 con l'intervento dei magistrati:</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Lanfranco </w:t>
      </w:r>
      <w:proofErr w:type="spellStart"/>
      <w:r w:rsidRPr="001839E3">
        <w:rPr>
          <w:rFonts w:ascii="Times New Roman" w:eastAsia="Times New Roman" w:hAnsi="Times New Roman" w:cs="Times New Roman"/>
          <w:color w:val="3D3B39"/>
          <w:lang w:eastAsia="it-IT"/>
        </w:rPr>
        <w:t>Balucani</w:t>
      </w:r>
      <w:proofErr w:type="spellEnd"/>
      <w:r w:rsidRPr="001839E3">
        <w:rPr>
          <w:rFonts w:ascii="Times New Roman" w:eastAsia="Times New Roman" w:hAnsi="Times New Roman" w:cs="Times New Roman"/>
          <w:color w:val="3D3B39"/>
          <w:lang w:eastAsia="it-IT"/>
        </w:rPr>
        <w:t>, Presidente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 xml:space="preserve">Massimiliano </w:t>
      </w:r>
      <w:proofErr w:type="spellStart"/>
      <w:r w:rsidRPr="001839E3">
        <w:rPr>
          <w:rFonts w:ascii="Times New Roman" w:eastAsia="Times New Roman" w:hAnsi="Times New Roman" w:cs="Times New Roman"/>
          <w:color w:val="3D3B39"/>
          <w:lang w:eastAsia="it-IT"/>
        </w:rPr>
        <w:t>Noccelli</w:t>
      </w:r>
      <w:proofErr w:type="spellEnd"/>
      <w:r w:rsidRPr="001839E3">
        <w:rPr>
          <w:rFonts w:ascii="Times New Roman" w:eastAsia="Times New Roman" w:hAnsi="Times New Roman" w:cs="Times New Roman"/>
          <w:color w:val="3D3B39"/>
          <w:lang w:eastAsia="it-IT"/>
        </w:rPr>
        <w:t>, Consigliere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Pierfrancesco Ungari, Consigliere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Giovanni Pescatore, Consigliere, Estensore</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br/>
        <w:t>Giorgio Calderoni, Consigliere</w:t>
      </w:r>
    </w:p>
    <w:p w:rsidR="001839E3" w:rsidRPr="006A4D7A" w:rsidRDefault="001839E3">
      <w:pPr>
        <w:rPr>
          <w:rFonts w:ascii="Times New Roman" w:hAnsi="Times New Roman" w:cs="Times New Roman"/>
        </w:rPr>
      </w:pPr>
    </w:p>
    <w:p w:rsidR="001839E3" w:rsidRPr="006A4D7A" w:rsidRDefault="001839E3">
      <w:pPr>
        <w:rPr>
          <w:rFonts w:ascii="Times New Roman" w:hAnsi="Times New Roman" w:cs="Times New Roman"/>
        </w:rPr>
      </w:pPr>
    </w:p>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1839E3" w:rsidRDefault="001839E3"/>
    <w:p w:rsidR="006A4D7A" w:rsidRDefault="006A4D7A" w:rsidP="001839E3">
      <w:pPr>
        <w:spacing w:after="265" w:line="240" w:lineRule="auto"/>
        <w:jc w:val="right"/>
        <w:rPr>
          <w:rFonts w:ascii="PT Serif" w:eastAsia="Times New Roman" w:hAnsi="PT Serif" w:cs="Helvetica"/>
          <w:b/>
          <w:bCs/>
          <w:caps/>
          <w:color w:val="000000"/>
          <w:sz w:val="26"/>
          <w:szCs w:val="26"/>
          <w:lang w:eastAsia="it-IT"/>
        </w:rPr>
      </w:pPr>
    </w:p>
    <w:p w:rsidR="006A4D7A" w:rsidRDefault="006A4D7A" w:rsidP="001839E3">
      <w:pPr>
        <w:spacing w:after="265" w:line="240" w:lineRule="auto"/>
        <w:jc w:val="right"/>
        <w:rPr>
          <w:rFonts w:ascii="PT Serif" w:eastAsia="Times New Roman" w:hAnsi="PT Serif" w:cs="Helvetica"/>
          <w:b/>
          <w:bCs/>
          <w:caps/>
          <w:color w:val="000000"/>
          <w:sz w:val="26"/>
          <w:szCs w:val="26"/>
          <w:lang w:eastAsia="it-IT"/>
        </w:rPr>
      </w:pPr>
    </w:p>
    <w:p w:rsidR="001839E3" w:rsidRPr="001839E3" w:rsidRDefault="001839E3" w:rsidP="001839E3">
      <w:pPr>
        <w:spacing w:after="265" w:line="240" w:lineRule="auto"/>
        <w:jc w:val="right"/>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lastRenderedPageBreak/>
        <w:t>N. 00183/2018 REG.PROV.COLL.</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N. 00111/2017 REG.RIC.</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REPUBBLICA ITALIANA</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IN NOME DEL POPOLO ITALIANO</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Il Tribunale Amministrativo Regionale per il Friuli Venezia Giulia</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(Sezione Prima)</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ha pronunciato la presente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SENTENZA</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sul ricorso numero di registro generale 111 del 2017, integrato da motivi aggiunti, proposto da </w:t>
      </w:r>
      <w:r w:rsidRPr="001839E3">
        <w:rPr>
          <w:rFonts w:ascii="Times New Roman" w:eastAsia="Times New Roman" w:hAnsi="Times New Roman" w:cs="Times New Roman"/>
          <w:color w:val="3D3B39"/>
          <w:lang w:eastAsia="it-IT"/>
        </w:rPr>
        <w:br/>
        <w:t xml:space="preserve">Associazione «Amici di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Farmacia Alla Salute S.a.s., </w:t>
      </w:r>
      <w:proofErr w:type="spellStart"/>
      <w:r w:rsidRPr="001839E3">
        <w:rPr>
          <w:rFonts w:ascii="Times New Roman" w:eastAsia="Times New Roman" w:hAnsi="Times New Roman" w:cs="Times New Roman"/>
          <w:color w:val="3D3B39"/>
          <w:lang w:eastAsia="it-IT"/>
        </w:rPr>
        <w:t>Klondike</w:t>
      </w:r>
      <w:proofErr w:type="spellEnd"/>
      <w:r w:rsidRPr="001839E3">
        <w:rPr>
          <w:rFonts w:ascii="Times New Roman" w:eastAsia="Times New Roman" w:hAnsi="Times New Roman" w:cs="Times New Roman"/>
          <w:color w:val="3D3B39"/>
          <w:lang w:eastAsia="it-IT"/>
        </w:rPr>
        <w:t xml:space="preserve"> di </w:t>
      </w:r>
      <w:proofErr w:type="spellStart"/>
      <w:r w:rsidRPr="001839E3">
        <w:rPr>
          <w:rFonts w:ascii="Times New Roman" w:eastAsia="Times New Roman" w:hAnsi="Times New Roman" w:cs="Times New Roman"/>
          <w:color w:val="3D3B39"/>
          <w:lang w:eastAsia="it-IT"/>
        </w:rPr>
        <w:t>Sant</w:t>
      </w:r>
      <w:proofErr w:type="spellEnd"/>
      <w:r w:rsidRPr="001839E3">
        <w:rPr>
          <w:rFonts w:ascii="Times New Roman" w:eastAsia="Times New Roman" w:hAnsi="Times New Roman" w:cs="Times New Roman"/>
          <w:color w:val="3D3B39"/>
          <w:lang w:eastAsia="it-IT"/>
        </w:rPr>
        <w:t xml:space="preserve"> Nicola, Italico Ronzoni di Andrea </w:t>
      </w:r>
      <w:proofErr w:type="spellStart"/>
      <w:r w:rsidRPr="001839E3">
        <w:rPr>
          <w:rFonts w:ascii="Times New Roman" w:eastAsia="Times New Roman" w:hAnsi="Times New Roman" w:cs="Times New Roman"/>
          <w:color w:val="3D3B39"/>
          <w:lang w:eastAsia="it-IT"/>
        </w:rPr>
        <w:t>Gremese</w:t>
      </w:r>
      <w:proofErr w:type="spellEnd"/>
      <w:r w:rsidRPr="001839E3">
        <w:rPr>
          <w:rFonts w:ascii="Times New Roman" w:eastAsia="Times New Roman" w:hAnsi="Times New Roman" w:cs="Times New Roman"/>
          <w:color w:val="3D3B39"/>
          <w:lang w:eastAsia="it-IT"/>
        </w:rPr>
        <w:t xml:space="preserve"> e C S.n.c., Marcolini Calzature di Lando Federico, Nuovo Caffè Commercio di </w:t>
      </w:r>
      <w:proofErr w:type="spellStart"/>
      <w:r w:rsidRPr="001839E3">
        <w:rPr>
          <w:rFonts w:ascii="Times New Roman" w:eastAsia="Times New Roman" w:hAnsi="Times New Roman" w:cs="Times New Roman"/>
          <w:color w:val="3D3B39"/>
          <w:lang w:eastAsia="it-IT"/>
        </w:rPr>
        <w:t>Hua</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Xiaojun</w:t>
      </w:r>
      <w:proofErr w:type="spellEnd"/>
      <w:r w:rsidRPr="001839E3">
        <w:rPr>
          <w:rFonts w:ascii="Times New Roman" w:eastAsia="Times New Roman" w:hAnsi="Times New Roman" w:cs="Times New Roman"/>
          <w:color w:val="3D3B39"/>
          <w:lang w:eastAsia="it-IT"/>
        </w:rPr>
        <w:t xml:space="preserve">, Pinocchio S.a.s. di </w:t>
      </w:r>
      <w:proofErr w:type="spellStart"/>
      <w:r w:rsidRPr="001839E3">
        <w:rPr>
          <w:rFonts w:ascii="Times New Roman" w:eastAsia="Times New Roman" w:hAnsi="Times New Roman" w:cs="Times New Roman"/>
          <w:color w:val="3D3B39"/>
          <w:lang w:eastAsia="it-IT"/>
        </w:rPr>
        <w:t>Zoratto</w:t>
      </w:r>
      <w:proofErr w:type="spellEnd"/>
      <w:r w:rsidRPr="001839E3">
        <w:rPr>
          <w:rFonts w:ascii="Times New Roman" w:eastAsia="Times New Roman" w:hAnsi="Times New Roman" w:cs="Times New Roman"/>
          <w:color w:val="3D3B39"/>
          <w:lang w:eastAsia="it-IT"/>
        </w:rPr>
        <w:t xml:space="preserve"> Fabrizio &amp; C. S.a.s., Residence Service 85 S.a.s. di Rinaldi Sara &amp; C., </w:t>
      </w:r>
      <w:proofErr w:type="spellStart"/>
      <w:r w:rsidRPr="001839E3">
        <w:rPr>
          <w:rFonts w:ascii="Times New Roman" w:eastAsia="Times New Roman" w:hAnsi="Times New Roman" w:cs="Times New Roman"/>
          <w:color w:val="3D3B39"/>
          <w:lang w:eastAsia="it-IT"/>
        </w:rPr>
        <w:t>Texture</w:t>
      </w:r>
      <w:proofErr w:type="spellEnd"/>
      <w:r w:rsidRPr="001839E3">
        <w:rPr>
          <w:rFonts w:ascii="Times New Roman" w:eastAsia="Times New Roman" w:hAnsi="Times New Roman" w:cs="Times New Roman"/>
          <w:color w:val="3D3B39"/>
          <w:lang w:eastAsia="it-IT"/>
        </w:rPr>
        <w:t xml:space="preserve"> S.a.s. di </w:t>
      </w:r>
      <w:proofErr w:type="spellStart"/>
      <w:r w:rsidRPr="001839E3">
        <w:rPr>
          <w:rFonts w:ascii="Times New Roman" w:eastAsia="Times New Roman" w:hAnsi="Times New Roman" w:cs="Times New Roman"/>
          <w:color w:val="3D3B39"/>
          <w:lang w:eastAsia="it-IT"/>
        </w:rPr>
        <w:t>Anzil</w:t>
      </w:r>
      <w:proofErr w:type="spellEnd"/>
      <w:r w:rsidRPr="001839E3">
        <w:rPr>
          <w:rFonts w:ascii="Times New Roman" w:eastAsia="Times New Roman" w:hAnsi="Times New Roman" w:cs="Times New Roman"/>
          <w:color w:val="3D3B39"/>
          <w:lang w:eastAsia="it-IT"/>
        </w:rPr>
        <w:t xml:space="preserve"> Maurizio &amp; C., Valigeria Moderna di Bassetti Barbara &amp; C., tutti rappresentati e difesi dall’avv. Luca De Pauli, elettivamente domiciliati presso la Segreteria Generale del T.A.R., in Trieste, piazza Unità d’Italia n. 7;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i/>
          <w:iCs/>
          <w:color w:val="3D3B39"/>
          <w:lang w:eastAsia="it-IT"/>
        </w:rPr>
        <w:t>contro</w:t>
      </w:r>
      <w:r w:rsidRPr="001839E3">
        <w:rPr>
          <w:rFonts w:ascii="Times New Roman" w:eastAsia="Times New Roman" w:hAnsi="Times New Roman" w:cs="Times New Roman"/>
          <w:color w:val="3D3B39"/>
          <w:lang w:eastAsia="it-IT"/>
        </w:rPr>
        <w:t xml:space="preserve">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Comune di Udine, rappresentato e difeso dagli avv.ti Giangiacomo </w:t>
      </w:r>
      <w:proofErr w:type="spellStart"/>
      <w:r w:rsidRPr="001839E3">
        <w:rPr>
          <w:rFonts w:ascii="Times New Roman" w:eastAsia="Times New Roman" w:hAnsi="Times New Roman" w:cs="Times New Roman"/>
          <w:color w:val="3D3B39"/>
          <w:lang w:eastAsia="it-IT"/>
        </w:rPr>
        <w:t>Martinuzzi</w:t>
      </w:r>
      <w:proofErr w:type="spellEnd"/>
      <w:r w:rsidRPr="001839E3">
        <w:rPr>
          <w:rFonts w:ascii="Times New Roman" w:eastAsia="Times New Roman" w:hAnsi="Times New Roman" w:cs="Times New Roman"/>
          <w:color w:val="3D3B39"/>
          <w:lang w:eastAsia="it-IT"/>
        </w:rPr>
        <w:t xml:space="preserve">, Claudia Micelli e Giuseppe </w:t>
      </w:r>
      <w:proofErr w:type="spellStart"/>
      <w:r w:rsidRPr="001839E3">
        <w:rPr>
          <w:rFonts w:ascii="Times New Roman" w:eastAsia="Times New Roman" w:hAnsi="Times New Roman" w:cs="Times New Roman"/>
          <w:color w:val="3D3B39"/>
          <w:lang w:eastAsia="it-IT"/>
        </w:rPr>
        <w:t>Sbisà</w:t>
      </w:r>
      <w:proofErr w:type="spellEnd"/>
      <w:r w:rsidRPr="001839E3">
        <w:rPr>
          <w:rFonts w:ascii="Times New Roman" w:eastAsia="Times New Roman" w:hAnsi="Times New Roman" w:cs="Times New Roman"/>
          <w:color w:val="3D3B39"/>
          <w:lang w:eastAsia="it-IT"/>
        </w:rPr>
        <w:t xml:space="preserve">, con domicilio eletto presso lo studio del terzo, in Trieste, via </w:t>
      </w:r>
      <w:proofErr w:type="spellStart"/>
      <w:r w:rsidRPr="001839E3">
        <w:rPr>
          <w:rFonts w:ascii="Times New Roman" w:eastAsia="Times New Roman" w:hAnsi="Times New Roman" w:cs="Times New Roman"/>
          <w:color w:val="3D3B39"/>
          <w:lang w:eastAsia="it-IT"/>
        </w:rPr>
        <w:t>Donota</w:t>
      </w:r>
      <w:proofErr w:type="spellEnd"/>
      <w:r w:rsidRPr="001839E3">
        <w:rPr>
          <w:rFonts w:ascii="Times New Roman" w:eastAsia="Times New Roman" w:hAnsi="Times New Roman" w:cs="Times New Roman"/>
          <w:color w:val="3D3B39"/>
          <w:lang w:eastAsia="it-IT"/>
        </w:rPr>
        <w:t xml:space="preserve"> n. 3; </w:t>
      </w:r>
      <w:r w:rsidRPr="001839E3">
        <w:rPr>
          <w:rFonts w:ascii="Times New Roman" w:eastAsia="Times New Roman" w:hAnsi="Times New Roman" w:cs="Times New Roman"/>
          <w:color w:val="3D3B39"/>
          <w:lang w:eastAsia="it-IT"/>
        </w:rPr>
        <w:br/>
        <w:t xml:space="preserve">Ministero dei Beni e delle Attività Culturali e del Turismo - Soprintendenza Archeologia, Belle Arti e Paesaggio del Friuli Venezia Giulia, rappresentato e difeso per legge dall’Avvocatura Distrettuale dello Stato, domiciliato ex </w:t>
      </w:r>
      <w:proofErr w:type="spellStart"/>
      <w:r w:rsidRPr="001839E3">
        <w:rPr>
          <w:rFonts w:ascii="Times New Roman" w:eastAsia="Times New Roman" w:hAnsi="Times New Roman" w:cs="Times New Roman"/>
          <w:color w:val="3D3B39"/>
          <w:lang w:eastAsia="it-IT"/>
        </w:rPr>
        <w:t>lege</w:t>
      </w:r>
      <w:proofErr w:type="spellEnd"/>
      <w:r w:rsidRPr="001839E3">
        <w:rPr>
          <w:rFonts w:ascii="Times New Roman" w:eastAsia="Times New Roman" w:hAnsi="Times New Roman" w:cs="Times New Roman"/>
          <w:color w:val="3D3B39"/>
          <w:lang w:eastAsia="it-IT"/>
        </w:rPr>
        <w:t xml:space="preserve"> presso gli uffici della medesima, in Trieste, piazza Dalmazia n. 3; </w:t>
      </w:r>
      <w:r w:rsidRPr="001839E3">
        <w:rPr>
          <w:rFonts w:ascii="Times New Roman" w:eastAsia="Times New Roman" w:hAnsi="Times New Roman" w:cs="Times New Roman"/>
          <w:color w:val="3D3B39"/>
          <w:lang w:eastAsia="it-IT"/>
        </w:rPr>
        <w:br/>
        <w:t xml:space="preserve">Regione Autonoma Friuli Venezia Giulia, non costituita in giudizio;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i/>
          <w:iCs/>
          <w:color w:val="3D3B39"/>
          <w:lang w:eastAsia="it-IT"/>
        </w:rPr>
        <w:t>nei confronti</w:t>
      </w:r>
      <w:r w:rsidRPr="001839E3">
        <w:rPr>
          <w:rFonts w:ascii="Times New Roman" w:eastAsia="Times New Roman" w:hAnsi="Times New Roman" w:cs="Times New Roman"/>
          <w:color w:val="3D3B39"/>
          <w:lang w:eastAsia="it-IT"/>
        </w:rPr>
        <w:t xml:space="preserve"> </w:t>
      </w:r>
    </w:p>
    <w:p w:rsidR="001839E3" w:rsidRPr="001839E3" w:rsidRDefault="001839E3" w:rsidP="001839E3">
      <w:pPr>
        <w:spacing w:after="265" w:line="240" w:lineRule="auto"/>
        <w:rPr>
          <w:rFonts w:ascii="Times New Roman" w:eastAsia="Times New Roman" w:hAnsi="Times New Roman" w:cs="Times New Roman"/>
          <w:color w:val="3D3B39"/>
          <w:lang w:eastAsia="it-IT"/>
        </w:rPr>
      </w:pPr>
      <w:proofErr w:type="spellStart"/>
      <w:r w:rsidRPr="001839E3">
        <w:rPr>
          <w:rFonts w:ascii="Times New Roman" w:eastAsia="Times New Roman" w:hAnsi="Times New Roman" w:cs="Times New Roman"/>
          <w:color w:val="3D3B39"/>
          <w:lang w:eastAsia="it-IT"/>
        </w:rPr>
        <w:t>Serteco</w:t>
      </w:r>
      <w:proofErr w:type="spellEnd"/>
      <w:r w:rsidRPr="001839E3">
        <w:rPr>
          <w:rFonts w:ascii="Times New Roman" w:eastAsia="Times New Roman" w:hAnsi="Times New Roman" w:cs="Times New Roman"/>
          <w:color w:val="3D3B39"/>
          <w:lang w:eastAsia="it-IT"/>
        </w:rPr>
        <w:t xml:space="preserve"> – Servizi Tecnici Coordinati S.p.A., non costituita in giudizio;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i/>
          <w:iCs/>
          <w:color w:val="3D3B39"/>
          <w:lang w:eastAsia="it-IT"/>
        </w:rPr>
        <w:t>Per quanto riguarda il ricorso introduttivo:</w:t>
      </w:r>
      <w:r w:rsidRPr="001839E3">
        <w:rPr>
          <w:rFonts w:ascii="Times New Roman" w:eastAsia="Times New Roman" w:hAnsi="Times New Roman" w:cs="Times New Roman"/>
          <w:color w:val="3D3B39"/>
          <w:lang w:eastAsia="it-IT"/>
        </w:rPr>
        <w:t xml:space="preserve">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per l’annullamento, previa sospensione dell’efficacia, </w:t>
      </w:r>
      <w:r w:rsidRPr="001839E3">
        <w:rPr>
          <w:rFonts w:ascii="Times New Roman" w:eastAsia="Times New Roman" w:hAnsi="Times New Roman" w:cs="Times New Roman"/>
          <w:color w:val="3D3B39"/>
          <w:lang w:eastAsia="it-IT"/>
        </w:rPr>
        <w:br/>
        <w:t>a) della deliberazione della Giunta Comunale di Udine n. 528 d’</w:t>
      </w:r>
      <w:proofErr w:type="spellStart"/>
      <w:r w:rsidRPr="001839E3">
        <w:rPr>
          <w:rFonts w:ascii="Times New Roman" w:eastAsia="Times New Roman" w:hAnsi="Times New Roman" w:cs="Times New Roman"/>
          <w:color w:val="3D3B39"/>
          <w:lang w:eastAsia="it-IT"/>
        </w:rPr>
        <w:t>ord</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29.12.2016, avente ad oggetto: “Opera: 6689 – CUP: C27H11000620004 Risanamento conservativo di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 1° lotto. Approvazione del progetto esecutivo per un importo di Euro 1.135.171,54”, non comunicata ai ricorrenti e pubblicata in Albo Municipale per 15 giorni consecutivi dal 3.01.2017 al 17.01.2017 inclusi; </w:t>
      </w:r>
      <w:r w:rsidRPr="001839E3">
        <w:rPr>
          <w:rFonts w:ascii="Times New Roman" w:eastAsia="Times New Roman" w:hAnsi="Times New Roman" w:cs="Times New Roman"/>
          <w:color w:val="3D3B39"/>
          <w:lang w:eastAsia="it-IT"/>
        </w:rPr>
        <w:br/>
        <w:t xml:space="preserve">b) del parere del Soprintendente ai Beni Architettonici e Paesaggistici del Friuli Venezia Giulia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20.07.2012; </w:t>
      </w:r>
      <w:r w:rsidRPr="001839E3">
        <w:rPr>
          <w:rFonts w:ascii="Times New Roman" w:eastAsia="Times New Roman" w:hAnsi="Times New Roman" w:cs="Times New Roman"/>
          <w:color w:val="3D3B39"/>
          <w:lang w:eastAsia="it-IT"/>
        </w:rPr>
        <w:br/>
        <w:t xml:space="preserve">c) del Verbale di conferenza dei Servizi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5.06.2012; </w:t>
      </w:r>
      <w:r w:rsidRPr="001839E3">
        <w:rPr>
          <w:rFonts w:ascii="Times New Roman" w:eastAsia="Times New Roman" w:hAnsi="Times New Roman" w:cs="Times New Roman"/>
          <w:color w:val="3D3B39"/>
          <w:lang w:eastAsia="it-IT"/>
        </w:rPr>
        <w:br/>
        <w:t>d) della deliberazione di Giunta Comunale del Comune di Udine n. 231 d’</w:t>
      </w:r>
      <w:proofErr w:type="spellStart"/>
      <w:r w:rsidRPr="001839E3">
        <w:rPr>
          <w:rFonts w:ascii="Times New Roman" w:eastAsia="Times New Roman" w:hAnsi="Times New Roman" w:cs="Times New Roman"/>
          <w:color w:val="3D3B39"/>
          <w:lang w:eastAsia="it-IT"/>
        </w:rPr>
        <w:t>ord</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17.07.2012; </w:t>
      </w:r>
      <w:r w:rsidRPr="001839E3">
        <w:rPr>
          <w:rFonts w:ascii="Times New Roman" w:eastAsia="Times New Roman" w:hAnsi="Times New Roman" w:cs="Times New Roman"/>
          <w:color w:val="3D3B39"/>
          <w:lang w:eastAsia="it-IT"/>
        </w:rPr>
        <w:br/>
        <w:t xml:space="preserve">e) del Verbale di conferenza dei Servizi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20.07.2012; </w:t>
      </w:r>
      <w:r w:rsidRPr="001839E3">
        <w:rPr>
          <w:rFonts w:ascii="Times New Roman" w:eastAsia="Times New Roman" w:hAnsi="Times New Roman" w:cs="Times New Roman"/>
          <w:color w:val="3D3B39"/>
          <w:lang w:eastAsia="it-IT"/>
        </w:rPr>
        <w:br/>
        <w:t>f) della deliberazione di Giunta Comunale del Comune di Udine n. 330 d’</w:t>
      </w:r>
      <w:proofErr w:type="spellStart"/>
      <w:r w:rsidRPr="001839E3">
        <w:rPr>
          <w:rFonts w:ascii="Times New Roman" w:eastAsia="Times New Roman" w:hAnsi="Times New Roman" w:cs="Times New Roman"/>
          <w:color w:val="3D3B39"/>
          <w:lang w:eastAsia="it-IT"/>
        </w:rPr>
        <w:t>ord</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5.10.2012; </w:t>
      </w:r>
      <w:r w:rsidRPr="001839E3">
        <w:rPr>
          <w:rFonts w:ascii="Times New Roman" w:eastAsia="Times New Roman" w:hAnsi="Times New Roman" w:cs="Times New Roman"/>
          <w:color w:val="3D3B39"/>
          <w:lang w:eastAsia="it-IT"/>
        </w:rPr>
        <w:br/>
        <w:t>g) della determina dirigenziale senza impegno di spesa, di contenuto ignoto, n. 2012/4817/00012 d’</w:t>
      </w:r>
      <w:proofErr w:type="spellStart"/>
      <w:r w:rsidRPr="001839E3">
        <w:rPr>
          <w:rFonts w:ascii="Times New Roman" w:eastAsia="Times New Roman" w:hAnsi="Times New Roman" w:cs="Times New Roman"/>
          <w:color w:val="3D3B39"/>
          <w:lang w:eastAsia="it-IT"/>
        </w:rPr>
        <w:t>ord</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7.03.2012, di affidamento degli incarichi per la progettazione definitiva ed esecutiva, direzione lavori, assistenza alla direzione lavori, collaborazione tecnica e amministrativa alla progettazione, collaudo tecnico/amministrativo e coordinamento in materia di sicurezza nella fase progettuale ex </w:t>
      </w:r>
      <w:proofErr w:type="spellStart"/>
      <w:r w:rsidRPr="001839E3">
        <w:rPr>
          <w:rFonts w:ascii="Times New Roman" w:eastAsia="Times New Roman" w:hAnsi="Times New Roman" w:cs="Times New Roman"/>
          <w:color w:val="3D3B39"/>
          <w:lang w:eastAsia="it-IT"/>
        </w:rPr>
        <w:t>D.Lgs.</w:t>
      </w:r>
      <w:proofErr w:type="spellEnd"/>
      <w:r w:rsidRPr="001839E3">
        <w:rPr>
          <w:rFonts w:ascii="Times New Roman" w:eastAsia="Times New Roman" w:hAnsi="Times New Roman" w:cs="Times New Roman"/>
          <w:color w:val="3D3B39"/>
          <w:lang w:eastAsia="it-IT"/>
        </w:rPr>
        <w:t xml:space="preserve"> n. 81/2008 ai dipendenti del Dipartimento gestione del Territorio, delle Infrastrutture e dell'Ambiente; </w:t>
      </w:r>
      <w:r w:rsidRPr="001839E3">
        <w:rPr>
          <w:rFonts w:ascii="Times New Roman" w:eastAsia="Times New Roman" w:hAnsi="Times New Roman" w:cs="Times New Roman"/>
          <w:color w:val="3D3B39"/>
          <w:lang w:eastAsia="it-IT"/>
        </w:rPr>
        <w:br/>
        <w:t xml:space="preserve">h) di tutti gli altri atti comunque connessi, presupposti e conseguenti a quelli come sopra indicati. </w:t>
      </w:r>
      <w:r w:rsidRPr="001839E3">
        <w:rPr>
          <w:rFonts w:ascii="Times New Roman" w:eastAsia="Times New Roman" w:hAnsi="Times New Roman" w:cs="Times New Roman"/>
          <w:color w:val="3D3B39"/>
          <w:lang w:eastAsia="it-IT"/>
        </w:rPr>
        <w:br/>
        <w:t xml:space="preserve">Per quanto riguarda il primo ricorso per motivi aggiunti, depositato in data 19.05.2017: </w:t>
      </w:r>
      <w:r w:rsidRPr="001839E3">
        <w:rPr>
          <w:rFonts w:ascii="Times New Roman" w:eastAsia="Times New Roman" w:hAnsi="Times New Roman" w:cs="Times New Roman"/>
          <w:color w:val="3D3B39"/>
          <w:lang w:eastAsia="it-IT"/>
        </w:rPr>
        <w:br/>
        <w:t xml:space="preserve">per l’annullamento, previa sospensiva, </w:t>
      </w:r>
      <w:r w:rsidRPr="001839E3">
        <w:rPr>
          <w:rFonts w:ascii="Times New Roman" w:eastAsia="Times New Roman" w:hAnsi="Times New Roman" w:cs="Times New Roman"/>
          <w:color w:val="3D3B39"/>
          <w:lang w:eastAsia="it-IT"/>
        </w:rPr>
        <w:br/>
        <w:t xml:space="preserve">oltre che degli atti impugnati con il ricorso principale, </w:t>
      </w:r>
      <w:r w:rsidRPr="001839E3">
        <w:rPr>
          <w:rFonts w:ascii="Times New Roman" w:eastAsia="Times New Roman" w:hAnsi="Times New Roman" w:cs="Times New Roman"/>
          <w:color w:val="3D3B39"/>
          <w:lang w:eastAsia="it-IT"/>
        </w:rPr>
        <w:br/>
        <w:t xml:space="preserve">i) della Autorizzazione con prescrizioni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5453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4.04.2017 della Soprintendenza Archeologia, Belle Arti e Paesaggio del Friuli Venezia Giulia;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t xml:space="preserve">l) di tutti gli altri atti comunque connessi, presupposti e conseguenti a quelli come sopra indicati; </w:t>
      </w:r>
      <w:r w:rsidRPr="001839E3">
        <w:rPr>
          <w:rFonts w:ascii="Times New Roman" w:eastAsia="Times New Roman" w:hAnsi="Times New Roman" w:cs="Times New Roman"/>
          <w:color w:val="3D3B39"/>
          <w:lang w:eastAsia="it-IT"/>
        </w:rPr>
        <w:br/>
        <w:t xml:space="preserve">Per quanto riguarda il secondo ricorso per i motivi aggiunti, depositato in data 17.07.2017: </w:t>
      </w:r>
      <w:r w:rsidRPr="001839E3">
        <w:rPr>
          <w:rFonts w:ascii="Times New Roman" w:eastAsia="Times New Roman" w:hAnsi="Times New Roman" w:cs="Times New Roman"/>
          <w:color w:val="3D3B39"/>
          <w:lang w:eastAsia="it-IT"/>
        </w:rPr>
        <w:br/>
        <w:t xml:space="preserve">per l’annullamento, previa sospensiva, </w:t>
      </w:r>
      <w:r w:rsidRPr="001839E3">
        <w:rPr>
          <w:rFonts w:ascii="Times New Roman" w:eastAsia="Times New Roman" w:hAnsi="Times New Roman" w:cs="Times New Roman"/>
          <w:color w:val="3D3B39"/>
          <w:lang w:eastAsia="it-IT"/>
        </w:rPr>
        <w:br/>
        <w:t xml:space="preserve">oltre che degli atti già impugnati, </w:t>
      </w:r>
      <w:r w:rsidRPr="001839E3">
        <w:rPr>
          <w:rFonts w:ascii="Times New Roman" w:eastAsia="Times New Roman" w:hAnsi="Times New Roman" w:cs="Times New Roman"/>
          <w:color w:val="3D3B39"/>
          <w:lang w:eastAsia="it-IT"/>
        </w:rPr>
        <w:br/>
        <w:t>m) della deliberazione della Giunta comunale di Udine n. 186 d’</w:t>
      </w:r>
      <w:proofErr w:type="spellStart"/>
      <w:r w:rsidRPr="001839E3">
        <w:rPr>
          <w:rFonts w:ascii="Times New Roman" w:eastAsia="Times New Roman" w:hAnsi="Times New Roman" w:cs="Times New Roman"/>
          <w:color w:val="3D3B39"/>
          <w:lang w:eastAsia="it-IT"/>
        </w:rPr>
        <w:t>ord</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16.05.2017, non comunicata né partecipata, pubblicata in Albo Municipale per 15 giorni consecutivi dal 22.05.2017 al 5.06.2017 inclusi, ad oggetto “OPERA: 6689 - CUP: C27H11000620004 Risanamento conservativo di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- 1° lotto. Approvazione del progetto esecutivo aggiornato per l’importo invariato di Euro 1.134.171,54”; </w:t>
      </w:r>
      <w:r w:rsidRPr="001839E3">
        <w:rPr>
          <w:rFonts w:ascii="Times New Roman" w:eastAsia="Times New Roman" w:hAnsi="Times New Roman" w:cs="Times New Roman"/>
          <w:color w:val="3D3B39"/>
          <w:lang w:eastAsia="it-IT"/>
        </w:rPr>
        <w:br/>
        <w:t>n) della Relazione Idrologica e Idraulica (</w:t>
      </w:r>
      <w:proofErr w:type="spellStart"/>
      <w:r w:rsidRPr="001839E3">
        <w:rPr>
          <w:rFonts w:ascii="Times New Roman" w:eastAsia="Times New Roman" w:hAnsi="Times New Roman" w:cs="Times New Roman"/>
          <w:color w:val="3D3B39"/>
          <w:lang w:eastAsia="it-IT"/>
        </w:rPr>
        <w:t>All</w:t>
      </w:r>
      <w:proofErr w:type="spellEnd"/>
      <w:r w:rsidRPr="001839E3">
        <w:rPr>
          <w:rFonts w:ascii="Times New Roman" w:eastAsia="Times New Roman" w:hAnsi="Times New Roman" w:cs="Times New Roman"/>
          <w:color w:val="3D3B39"/>
          <w:lang w:eastAsia="it-IT"/>
        </w:rPr>
        <w:t xml:space="preserve">. U al progetto esecutivo approvato come sopra); </w:t>
      </w:r>
      <w:r w:rsidRPr="001839E3">
        <w:rPr>
          <w:rFonts w:ascii="Times New Roman" w:eastAsia="Times New Roman" w:hAnsi="Times New Roman" w:cs="Times New Roman"/>
          <w:color w:val="3D3B39"/>
          <w:lang w:eastAsia="it-IT"/>
        </w:rPr>
        <w:br/>
        <w:t xml:space="preserve">o) della “Richiesta Redazione Proposta di decisione giuntale”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11.05.2017 del Responsabile del U. </w:t>
      </w:r>
      <w:proofErr w:type="spellStart"/>
      <w:r w:rsidRPr="001839E3">
        <w:rPr>
          <w:rFonts w:ascii="Times New Roman" w:eastAsia="Times New Roman" w:hAnsi="Times New Roman" w:cs="Times New Roman"/>
          <w:color w:val="3D3B39"/>
          <w:lang w:eastAsia="it-IT"/>
        </w:rPr>
        <w:t>Org</w:t>
      </w:r>
      <w:proofErr w:type="spellEnd"/>
      <w:r w:rsidRPr="001839E3">
        <w:rPr>
          <w:rFonts w:ascii="Times New Roman" w:eastAsia="Times New Roman" w:hAnsi="Times New Roman" w:cs="Times New Roman"/>
          <w:color w:val="3D3B39"/>
          <w:lang w:eastAsia="it-IT"/>
        </w:rPr>
        <w:t xml:space="preserve">. Mobilità arch. Barbara Gentilini; </w:t>
      </w:r>
      <w:r w:rsidRPr="001839E3">
        <w:rPr>
          <w:rFonts w:ascii="Times New Roman" w:eastAsia="Times New Roman" w:hAnsi="Times New Roman" w:cs="Times New Roman"/>
          <w:color w:val="3D3B39"/>
          <w:lang w:eastAsia="it-IT"/>
        </w:rPr>
        <w:br/>
        <w:t xml:space="preserve">p) di tutti gli altri atti comunque connessi, presupposti e conseguenti a quelli come sopra indicati. </w:t>
      </w:r>
      <w:r w:rsidRPr="001839E3">
        <w:rPr>
          <w:rFonts w:ascii="Times New Roman" w:eastAsia="Times New Roman" w:hAnsi="Times New Roman" w:cs="Times New Roman"/>
          <w:color w:val="3D3B39"/>
          <w:lang w:eastAsia="it-IT"/>
        </w:rPr>
        <w:br/>
        <w:t xml:space="preserve">Per quanto riguarda il terzo ricorso per motivi aggiunti, depositato in data 9.10.2017: </w:t>
      </w:r>
      <w:r w:rsidRPr="001839E3">
        <w:rPr>
          <w:rFonts w:ascii="Times New Roman" w:eastAsia="Times New Roman" w:hAnsi="Times New Roman" w:cs="Times New Roman"/>
          <w:color w:val="3D3B39"/>
          <w:lang w:eastAsia="it-IT"/>
        </w:rPr>
        <w:br/>
        <w:t xml:space="preserve">per l’annullamento, previa sospensiva, </w:t>
      </w:r>
      <w:r w:rsidRPr="001839E3">
        <w:rPr>
          <w:rFonts w:ascii="Times New Roman" w:eastAsia="Times New Roman" w:hAnsi="Times New Roman" w:cs="Times New Roman"/>
          <w:color w:val="3D3B39"/>
          <w:lang w:eastAsia="it-IT"/>
        </w:rPr>
        <w:br/>
        <w:t xml:space="preserve">oltre che degli atti già impugnati, </w:t>
      </w:r>
      <w:r w:rsidRPr="001839E3">
        <w:rPr>
          <w:rFonts w:ascii="Times New Roman" w:eastAsia="Times New Roman" w:hAnsi="Times New Roman" w:cs="Times New Roman"/>
          <w:color w:val="3D3B39"/>
          <w:lang w:eastAsia="it-IT"/>
        </w:rPr>
        <w:br/>
        <w:t xml:space="preserve">q) della Autorizzazione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15206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25.09.2017 della Soprintendenza Archeologia, Belle Arti e Paesaggio del Friuli Venezia Giulia; </w:t>
      </w:r>
      <w:r w:rsidRPr="001839E3">
        <w:rPr>
          <w:rFonts w:ascii="Times New Roman" w:eastAsia="Times New Roman" w:hAnsi="Times New Roman" w:cs="Times New Roman"/>
          <w:color w:val="3D3B39"/>
          <w:lang w:eastAsia="it-IT"/>
        </w:rPr>
        <w:br/>
        <w:t xml:space="preserve">r) della “nota di accompagnamento” del Comune di Udine di data ed estremi ignoti, menzionata nel provvedimento sub q); </w:t>
      </w:r>
      <w:r w:rsidRPr="001839E3">
        <w:rPr>
          <w:rFonts w:ascii="Times New Roman" w:eastAsia="Times New Roman" w:hAnsi="Times New Roman" w:cs="Times New Roman"/>
          <w:color w:val="3D3B39"/>
          <w:lang w:eastAsia="it-IT"/>
        </w:rPr>
        <w:br/>
        <w:t xml:space="preserve">s) di tutti gli altri atti comunque connessi, presupposti e conseguenti a quelli come sopra indicati; </w:t>
      </w:r>
      <w:r w:rsidRPr="001839E3">
        <w:rPr>
          <w:rFonts w:ascii="Times New Roman" w:eastAsia="Times New Roman" w:hAnsi="Times New Roman" w:cs="Times New Roman"/>
          <w:color w:val="3D3B39"/>
          <w:lang w:eastAsia="it-IT"/>
        </w:rPr>
        <w:br/>
        <w:t xml:space="preserve">Per quanto riguarda il quarto ricorso per motivi aggiunti, depositato in data 2.11.2017: </w:t>
      </w:r>
      <w:r w:rsidRPr="001839E3">
        <w:rPr>
          <w:rFonts w:ascii="Times New Roman" w:eastAsia="Times New Roman" w:hAnsi="Times New Roman" w:cs="Times New Roman"/>
          <w:color w:val="3D3B39"/>
          <w:lang w:eastAsia="it-IT"/>
        </w:rPr>
        <w:br/>
        <w:t xml:space="preserve">per l’annullamento, previa sospensiva, </w:t>
      </w:r>
      <w:r w:rsidRPr="001839E3">
        <w:rPr>
          <w:rFonts w:ascii="Times New Roman" w:eastAsia="Times New Roman" w:hAnsi="Times New Roman" w:cs="Times New Roman"/>
          <w:color w:val="3D3B39"/>
          <w:lang w:eastAsia="it-IT"/>
        </w:rPr>
        <w:br/>
        <w:t xml:space="preserve">t) della nota del Comune di Udine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PG/U 0079575 del 7.08.2017, dell’autorizzazione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15206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25.09.2017 della Soprintendenza Archeologia, Belle Arti e Paesaggio del Friuli Venezia Giulia, della deliberazione della Giunta comunale di Udine n. 186 d’</w:t>
      </w:r>
      <w:proofErr w:type="spellStart"/>
      <w:r w:rsidRPr="001839E3">
        <w:rPr>
          <w:rFonts w:ascii="Times New Roman" w:eastAsia="Times New Roman" w:hAnsi="Times New Roman" w:cs="Times New Roman"/>
          <w:color w:val="3D3B39"/>
          <w:lang w:eastAsia="it-IT"/>
        </w:rPr>
        <w:t>ord</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16.05.2017; </w:t>
      </w:r>
      <w:r w:rsidRPr="001839E3">
        <w:rPr>
          <w:rFonts w:ascii="Times New Roman" w:eastAsia="Times New Roman" w:hAnsi="Times New Roman" w:cs="Times New Roman"/>
          <w:color w:val="3D3B39"/>
          <w:lang w:eastAsia="it-IT"/>
        </w:rPr>
        <w:br/>
        <w:t xml:space="preserve">Per quanto riguarda il quinto ricorso per motivi aggiunti, depositato in data 23 febbraio 2018: </w:t>
      </w:r>
      <w:r w:rsidRPr="001839E3">
        <w:rPr>
          <w:rFonts w:ascii="Times New Roman" w:eastAsia="Times New Roman" w:hAnsi="Times New Roman" w:cs="Times New Roman"/>
          <w:color w:val="3D3B39"/>
          <w:lang w:eastAsia="it-IT"/>
        </w:rPr>
        <w:br/>
        <w:t xml:space="preserve">per l’annullamento, </w:t>
      </w:r>
      <w:r w:rsidRPr="001839E3">
        <w:rPr>
          <w:rFonts w:ascii="Times New Roman" w:eastAsia="Times New Roman" w:hAnsi="Times New Roman" w:cs="Times New Roman"/>
          <w:color w:val="3D3B39"/>
          <w:lang w:eastAsia="it-IT"/>
        </w:rPr>
        <w:br/>
        <w:t xml:space="preserve">oltre che degli atti già impugnati, </w:t>
      </w:r>
      <w:r w:rsidRPr="001839E3">
        <w:rPr>
          <w:rFonts w:ascii="Times New Roman" w:eastAsia="Times New Roman" w:hAnsi="Times New Roman" w:cs="Times New Roman"/>
          <w:color w:val="3D3B39"/>
          <w:lang w:eastAsia="it-IT"/>
        </w:rPr>
        <w:br/>
        <w:t xml:space="preserve">u) della “relazione integrativa”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31.0.12018 del tecnico incaricato, rinvenuta per estratto e all’interno della memoria </w:t>
      </w:r>
      <w:proofErr w:type="spellStart"/>
      <w:r w:rsidRPr="001839E3">
        <w:rPr>
          <w:rFonts w:ascii="Times New Roman" w:eastAsia="Times New Roman" w:hAnsi="Times New Roman" w:cs="Times New Roman"/>
          <w:color w:val="3D3B39"/>
          <w:lang w:eastAsia="it-IT"/>
        </w:rPr>
        <w:t>dd</w:t>
      </w:r>
      <w:proofErr w:type="spellEnd"/>
      <w:r w:rsidRPr="001839E3">
        <w:rPr>
          <w:rFonts w:ascii="Times New Roman" w:eastAsia="Times New Roman" w:hAnsi="Times New Roman" w:cs="Times New Roman"/>
          <w:color w:val="3D3B39"/>
          <w:lang w:eastAsia="it-IT"/>
        </w:rPr>
        <w:t xml:space="preserve">. 5.02.2018, sottoscritta da difensori del Comune; </w:t>
      </w:r>
      <w:r w:rsidRPr="001839E3">
        <w:rPr>
          <w:rFonts w:ascii="Times New Roman" w:eastAsia="Times New Roman" w:hAnsi="Times New Roman" w:cs="Times New Roman"/>
          <w:color w:val="3D3B39"/>
          <w:lang w:eastAsia="it-IT"/>
        </w:rPr>
        <w:br/>
        <w:t xml:space="preserve">v) di tutti gli altri atti comunque connessi, presupposti e conseguenti a quelli come sopra indicati.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Visti il ricorso, i motivi aggiunti e i relativi allegati; </w:t>
      </w:r>
      <w:r w:rsidRPr="001839E3">
        <w:rPr>
          <w:rFonts w:ascii="Times New Roman" w:eastAsia="Times New Roman" w:hAnsi="Times New Roman" w:cs="Times New Roman"/>
          <w:color w:val="3D3B39"/>
          <w:lang w:eastAsia="it-IT"/>
        </w:rPr>
        <w:br/>
        <w:t xml:space="preserve">Visti gli atti di costituzione in giudizio del Comune di Udine e di Ministero dei Beni e delle Attività Culturali e del Turismo; </w:t>
      </w:r>
      <w:r w:rsidRPr="001839E3">
        <w:rPr>
          <w:rFonts w:ascii="Times New Roman" w:eastAsia="Times New Roman" w:hAnsi="Times New Roman" w:cs="Times New Roman"/>
          <w:color w:val="3D3B39"/>
          <w:lang w:eastAsia="it-IT"/>
        </w:rPr>
        <w:br/>
        <w:t xml:space="preserve">Visti tutti gli atti e i documenti della causa; </w:t>
      </w:r>
      <w:r w:rsidRPr="001839E3">
        <w:rPr>
          <w:rFonts w:ascii="Times New Roman" w:eastAsia="Times New Roman" w:hAnsi="Times New Roman" w:cs="Times New Roman"/>
          <w:color w:val="3D3B39"/>
          <w:lang w:eastAsia="it-IT"/>
        </w:rPr>
        <w:br/>
        <w:t xml:space="preserve">Relatore nell’udienza pubblica del giorno 21 marzo 2018 la dott.ssa Alessandra </w:t>
      </w:r>
      <w:proofErr w:type="spellStart"/>
      <w:r w:rsidRPr="001839E3">
        <w:rPr>
          <w:rFonts w:ascii="Times New Roman" w:eastAsia="Times New Roman" w:hAnsi="Times New Roman" w:cs="Times New Roman"/>
          <w:color w:val="3D3B39"/>
          <w:lang w:eastAsia="it-IT"/>
        </w:rPr>
        <w:t>Tagliasacchi</w:t>
      </w:r>
      <w:proofErr w:type="spellEnd"/>
      <w:r w:rsidRPr="001839E3">
        <w:rPr>
          <w:rFonts w:ascii="Times New Roman" w:eastAsia="Times New Roman" w:hAnsi="Times New Roman" w:cs="Times New Roman"/>
          <w:color w:val="3D3B39"/>
          <w:lang w:eastAsia="it-IT"/>
        </w:rPr>
        <w:t xml:space="preserve"> e uditi per le parti i difensori come specificato nel verbale; </w:t>
      </w:r>
      <w:r w:rsidRPr="001839E3">
        <w:rPr>
          <w:rFonts w:ascii="Times New Roman" w:eastAsia="Times New Roman" w:hAnsi="Times New Roman" w:cs="Times New Roman"/>
          <w:color w:val="3D3B39"/>
          <w:lang w:eastAsia="it-IT"/>
        </w:rPr>
        <w:br/>
        <w:t xml:space="preserve">Ritenuto in fatto e considerato in diritto quanto segue.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FATTO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1. Oggetto del presente giudizio è il progetto dei lavori di risanamento conservativo di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a Udine, che il Comune di Udine intende realizzare, su parere favorevole della competente Soprintendenza, trattandosi di bene vincolato ai sensi dell’articolo 10, comma 4, lettera g), </w:t>
      </w:r>
      <w:proofErr w:type="spellStart"/>
      <w:r w:rsidRPr="001839E3">
        <w:rPr>
          <w:rFonts w:ascii="Times New Roman" w:eastAsia="Times New Roman" w:hAnsi="Times New Roman" w:cs="Times New Roman"/>
          <w:color w:val="3D3B39"/>
          <w:lang w:eastAsia="it-IT"/>
        </w:rPr>
        <w:t>D.Lgs.</w:t>
      </w:r>
      <w:proofErr w:type="spellEnd"/>
      <w:r w:rsidRPr="001839E3">
        <w:rPr>
          <w:rFonts w:ascii="Times New Roman" w:eastAsia="Times New Roman" w:hAnsi="Times New Roman" w:cs="Times New Roman"/>
          <w:color w:val="3D3B39"/>
          <w:lang w:eastAsia="it-IT"/>
        </w:rPr>
        <w:t xml:space="preserve"> n. 42/2004). </w:t>
      </w:r>
      <w:r w:rsidRPr="001839E3">
        <w:rPr>
          <w:rFonts w:ascii="Times New Roman" w:eastAsia="Times New Roman" w:hAnsi="Times New Roman" w:cs="Times New Roman"/>
          <w:color w:val="3D3B39"/>
          <w:lang w:eastAsia="it-IT"/>
        </w:rPr>
        <w:br/>
        <w:t xml:space="preserve">L’intervento, suddiviso in due lotti, prevede il rifacimento della pavimentazione della strada, da realizzarsi in lastre di pietra </w:t>
      </w:r>
      <w:proofErr w:type="spellStart"/>
      <w:r w:rsidRPr="001839E3">
        <w:rPr>
          <w:rFonts w:ascii="Times New Roman" w:eastAsia="Times New Roman" w:hAnsi="Times New Roman" w:cs="Times New Roman"/>
          <w:color w:val="3D3B39"/>
          <w:lang w:eastAsia="it-IT"/>
        </w:rPr>
        <w:t>piasentina</w:t>
      </w:r>
      <w:proofErr w:type="spellEnd"/>
      <w:r w:rsidRPr="001839E3">
        <w:rPr>
          <w:rFonts w:ascii="Times New Roman" w:eastAsia="Times New Roman" w:hAnsi="Times New Roman" w:cs="Times New Roman"/>
          <w:color w:val="3D3B39"/>
          <w:lang w:eastAsia="it-IT"/>
        </w:rPr>
        <w:t xml:space="preserve"> bocciardata montata a correre in senso trasversale, mentre per i marciapiedi vengono conservate le lastre esistenti che verranno ricollocate in situ dopo idoneo trattamento. A loro volta, le canalette di convogliamento delle acque, poste ai lati e ai bordi dei marciapiedi sono da realizzate concave senza bordo trattate fiammate. </w:t>
      </w:r>
      <w:r w:rsidRPr="001839E3">
        <w:rPr>
          <w:rFonts w:ascii="Times New Roman" w:eastAsia="Times New Roman" w:hAnsi="Times New Roman" w:cs="Times New Roman"/>
          <w:color w:val="3D3B39"/>
          <w:lang w:eastAsia="it-IT"/>
        </w:rPr>
        <w:br/>
        <w:t xml:space="preserve">2. I ricorrenti, secondo quanto emerge dalla documentazione versata in atti, sono titolari di esercizi commerciali che affacciano su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o che comunque sono situati nelle immediate vicinanze, unitamente ad una associazione privata costituitasi sin dal 1968 per la tutela, la conservazione e la valorizzazione di tale strada del centro storico cittadino, </w:t>
      </w:r>
      <w:r w:rsidRPr="001839E3">
        <w:rPr>
          <w:rFonts w:ascii="Times New Roman" w:eastAsia="Times New Roman" w:hAnsi="Times New Roman" w:cs="Times New Roman"/>
          <w:color w:val="3D3B39"/>
          <w:lang w:eastAsia="it-IT"/>
        </w:rPr>
        <w:br/>
        <w:t xml:space="preserve">3.1. Con il ricorso principale sono impugnati la deliberazione della Giunta comunale di Udine n. 528/2016 di approvazione del progetto esecutivo e gli atti presupposti, tutti in epigrafe indicati, di cui ne è chiesto </w:t>
      </w:r>
      <w:r w:rsidRPr="001839E3">
        <w:rPr>
          <w:rFonts w:ascii="Times New Roman" w:eastAsia="Times New Roman" w:hAnsi="Times New Roman" w:cs="Times New Roman"/>
          <w:color w:val="3D3B39"/>
          <w:lang w:eastAsia="it-IT"/>
        </w:rPr>
        <w:lastRenderedPageBreak/>
        <w:t xml:space="preserve">l’annullamento previa sospensione cautelare dell’efficacia. </w:t>
      </w:r>
      <w:r w:rsidRPr="001839E3">
        <w:rPr>
          <w:rFonts w:ascii="Times New Roman" w:eastAsia="Times New Roman" w:hAnsi="Times New Roman" w:cs="Times New Roman"/>
          <w:color w:val="3D3B39"/>
          <w:lang w:eastAsia="it-IT"/>
        </w:rPr>
        <w:br/>
        <w:t xml:space="preserve">3.2. Con il primo ricorso per motivi aggiunti è impugnato, oltre agli atti già in precedenza gravati, anche il parere favorevole della Soprintendenza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5453 del 4.04.2017, di cui è parimenti chiesto l’annullamento previa sospensione cautelare dell’efficacia. </w:t>
      </w:r>
      <w:r w:rsidRPr="001839E3">
        <w:rPr>
          <w:rFonts w:ascii="Times New Roman" w:eastAsia="Times New Roman" w:hAnsi="Times New Roman" w:cs="Times New Roman"/>
          <w:color w:val="3D3B39"/>
          <w:lang w:eastAsia="it-IT"/>
        </w:rPr>
        <w:br/>
        <w:t xml:space="preserve">3.3. Con il secondo ricorso per motivi aggiunti sono impugnati, oltre agli atti già in precedenza gravati, anche la deliberazione della Giunta comunale di Udine n. 186/2017 di approvazione del progetto esecutivo aggiornato, unitamente alla relazione idrologica e idraulica e ad altri atti prodromici, tutti parimenti in epigrafe indicati, di cui è sempre chiesto l’annullamento previa sospensione cautelare dell’efficacia. </w:t>
      </w:r>
      <w:r w:rsidRPr="001839E3">
        <w:rPr>
          <w:rFonts w:ascii="Times New Roman" w:eastAsia="Times New Roman" w:hAnsi="Times New Roman" w:cs="Times New Roman"/>
          <w:color w:val="3D3B39"/>
          <w:lang w:eastAsia="it-IT"/>
        </w:rPr>
        <w:br/>
        <w:t xml:space="preserve">3.4. Con il terzo ricorso per motivi aggiunti sono impugnati, oltre agli atti già in precedenza gravati, anche la nuova autorizzazione della Soprintendenza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n. 15206 del 25.09.2017 e la nota comunale di richiesta di un nuovo pronunciamento all’organo ministeriale, di cui ancora una volta viene chiesto l’annullamento previa sospensione cautelare dell’efficacia. </w:t>
      </w:r>
      <w:r w:rsidRPr="001839E3">
        <w:rPr>
          <w:rFonts w:ascii="Times New Roman" w:eastAsia="Times New Roman" w:hAnsi="Times New Roman" w:cs="Times New Roman"/>
          <w:color w:val="3D3B39"/>
          <w:lang w:eastAsia="it-IT"/>
        </w:rPr>
        <w:br/>
        <w:t xml:space="preserve">3.5. Con il quarto ricorso per motivi aggiunti sono impugnati agli atti già gravati con i precedenti ricorsi, in particolare la nota del Comune di trasmissione alla Soprintendenza del progetto esecutivo aggiornato, di cui è chiesto l’annullamento previa sospensione cautelare dell’efficacia anche in ragione degli esiti della verificazione nelle more disposta dal Tribunale. </w:t>
      </w:r>
      <w:r w:rsidRPr="001839E3">
        <w:rPr>
          <w:rFonts w:ascii="Times New Roman" w:eastAsia="Times New Roman" w:hAnsi="Times New Roman" w:cs="Times New Roman"/>
          <w:color w:val="3D3B39"/>
          <w:lang w:eastAsia="it-IT"/>
        </w:rPr>
        <w:br/>
        <w:t xml:space="preserve">3.6. Infine, con il quinto ricorso per motivi aggiunti è impugnato, oltre agli atti già in precedenza gravati, “per quanto occorrer possa”, la relazione integrativa del tecnico incaricato dal Comune, riportata all’interno della memoria dell’Ente depositata in data 5.02.2018, di cui è parimenti chiesto l’annullamento. </w:t>
      </w:r>
      <w:r w:rsidRPr="001839E3">
        <w:rPr>
          <w:rFonts w:ascii="Times New Roman" w:eastAsia="Times New Roman" w:hAnsi="Times New Roman" w:cs="Times New Roman"/>
          <w:color w:val="3D3B39"/>
          <w:lang w:eastAsia="it-IT"/>
        </w:rPr>
        <w:br/>
        <w:t xml:space="preserve">4.1. Si sono costituiti in giudizio il Comune di Udine e il Ministero dei Beni e delle Attività culturali e del Turismo, entrambi opponendosi alla prospettazione avversaria e concludendo per la reiezione di tutti i ricorsi promossi da controparte. </w:t>
      </w:r>
      <w:r w:rsidRPr="001839E3">
        <w:rPr>
          <w:rFonts w:ascii="Times New Roman" w:eastAsia="Times New Roman" w:hAnsi="Times New Roman" w:cs="Times New Roman"/>
          <w:color w:val="3D3B39"/>
          <w:lang w:eastAsia="it-IT"/>
        </w:rPr>
        <w:br/>
        <w:t xml:space="preserve">4.2. Nessuna delle altre parti evocate - tutte in epigrafe menzionate - si è costituita in giudizio. </w:t>
      </w:r>
      <w:r w:rsidRPr="001839E3">
        <w:rPr>
          <w:rFonts w:ascii="Times New Roman" w:eastAsia="Times New Roman" w:hAnsi="Times New Roman" w:cs="Times New Roman"/>
          <w:color w:val="3D3B39"/>
          <w:lang w:eastAsia="it-IT"/>
        </w:rPr>
        <w:br/>
        <w:t xml:space="preserve">5. Delle domande cautelari proposte dai ricorrenti, quelle contenute nel ricorso principale e nel primo e quarto ricorso per motivi aggiunti sono state rinunciate, quella contenuta nel secondo ricorso per motivi aggiunti è stata accolta, quella contenuta nel terzo ricorso per motivi aggiunti è stata rigettata in primo grado e accolta in appello. </w:t>
      </w:r>
      <w:r w:rsidRPr="001839E3">
        <w:rPr>
          <w:rFonts w:ascii="Times New Roman" w:eastAsia="Times New Roman" w:hAnsi="Times New Roman" w:cs="Times New Roman"/>
          <w:color w:val="3D3B39"/>
          <w:lang w:eastAsia="it-IT"/>
        </w:rPr>
        <w:br/>
        <w:t xml:space="preserve">La situazione è, dunque, rimasta cristallizzata sino alla decisione della causa. </w:t>
      </w:r>
      <w:r w:rsidRPr="001839E3">
        <w:rPr>
          <w:rFonts w:ascii="Times New Roman" w:eastAsia="Times New Roman" w:hAnsi="Times New Roman" w:cs="Times New Roman"/>
          <w:color w:val="3D3B39"/>
          <w:lang w:eastAsia="it-IT"/>
        </w:rPr>
        <w:br/>
        <w:t xml:space="preserve">6.1. Con ordinanza collegiale n. 270/2017 il Tribunale ha disposto una verificazione che evidenziasse le differenze fra il progetto esecutivo approvato con deliberazione della Giunta comunale di Udine n. 186/2017 e il progetto esecutivo approvato con deliberazione giuntale n. 528/2016. </w:t>
      </w:r>
      <w:r w:rsidRPr="001839E3">
        <w:rPr>
          <w:rFonts w:ascii="Times New Roman" w:eastAsia="Times New Roman" w:hAnsi="Times New Roman" w:cs="Times New Roman"/>
          <w:color w:val="3D3B39"/>
          <w:lang w:eastAsia="it-IT"/>
        </w:rPr>
        <w:br/>
        <w:t xml:space="preserve">6.2. Con ordinanza n. 121/2017 il Tribunale ha disposto una integrazione della verificazione, onde appurare se la sezione della strada oggetto di intervento sia stata modificata nel passaggio tra il progetto esecutivo approvato con deliberazione giuntale n. 528/2016 a quello approvato con deliberazione giuntale n. 186/2017, specificando se la baulatura a schiena d’asino sia stata o meno sostituita da una pendenza trasversale da est a ovest, e, in caso positivo, se tale modifica sia intervenuta con il primo o con il secondo progetto esecutivo. </w:t>
      </w:r>
      <w:r w:rsidRPr="001839E3">
        <w:rPr>
          <w:rFonts w:ascii="Times New Roman" w:eastAsia="Times New Roman" w:hAnsi="Times New Roman" w:cs="Times New Roman"/>
          <w:color w:val="3D3B39"/>
          <w:lang w:eastAsia="it-IT"/>
        </w:rPr>
        <w:br/>
        <w:t xml:space="preserve">6.3. Con ordinanza collegiale n. 270/2017 il Tribunale ha disposto una nuova verificazione per accertare se alla data del 1° gennaio 2017 esistevano ed erano disponibili rilevazioni ufficiali sulle precipitazioni nel Comune di Udine successive al 31.12.2011; e, in caso positivo, se tali rilevazioni riguardavano anche il pluviometro posto sul Castello di Udine. </w:t>
      </w:r>
      <w:r w:rsidRPr="001839E3">
        <w:rPr>
          <w:rFonts w:ascii="Times New Roman" w:eastAsia="Times New Roman" w:hAnsi="Times New Roman" w:cs="Times New Roman"/>
          <w:color w:val="3D3B39"/>
          <w:lang w:eastAsia="it-IT"/>
        </w:rPr>
        <w:br/>
        <w:t xml:space="preserve">7. Espletati gli incombenti istruttori, dopo la celebrazione di sei camere di consiglio cautelari e di tre pubbliche udienze di merito, la causa è stata infine trattenuta in decisione alla pubblica udienza del 21 marzo 2018.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DIRITTO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1. Viene all’esame di questo Tribunale l’impugnazione, articolata in un ricorso principale e cinque ricorsi per motivi aggiunti, promossa da alcuni commercianti e da una associazione privata, avverso il progetto approvato dal Comune di Udine, con il parere favorevole della Soprintendenza, di risanamento conservativo di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In sostanza, i ricorrenti si dolgono della scelta di ripavimentare la strada di pietra </w:t>
      </w:r>
      <w:proofErr w:type="spellStart"/>
      <w:r w:rsidRPr="001839E3">
        <w:rPr>
          <w:rFonts w:ascii="Times New Roman" w:eastAsia="Times New Roman" w:hAnsi="Times New Roman" w:cs="Times New Roman"/>
          <w:color w:val="3D3B39"/>
          <w:lang w:eastAsia="it-IT"/>
        </w:rPr>
        <w:t>piasentina</w:t>
      </w:r>
      <w:proofErr w:type="spellEnd"/>
      <w:r w:rsidRPr="001839E3">
        <w:rPr>
          <w:rFonts w:ascii="Times New Roman" w:eastAsia="Times New Roman" w:hAnsi="Times New Roman" w:cs="Times New Roman"/>
          <w:color w:val="3D3B39"/>
          <w:lang w:eastAsia="it-IT"/>
        </w:rPr>
        <w:t xml:space="preserve"> (soluzione che prelude alla pedonalizzazione della via), in quanto estremamente delicata e particolarmente scivolosa in caso di pioggia, oltre che non coerente con la tradizione storica dei luoghi (pavimentati in porfido), nonché della scelta di modificare la forma della strada attualmente con baulatura a schiena d’asino per adottare una pendenza trasversale da est a ovest, con il rischio di allagamenti in caso di fenomeni meteorici intensi. </w:t>
      </w:r>
      <w:r w:rsidRPr="001839E3">
        <w:rPr>
          <w:rFonts w:ascii="Times New Roman" w:eastAsia="Times New Roman" w:hAnsi="Times New Roman" w:cs="Times New Roman"/>
          <w:color w:val="3D3B39"/>
          <w:lang w:eastAsia="it-IT"/>
        </w:rPr>
        <w:br/>
        <w:t xml:space="preserve">2.1. Preliminarmente, il Collegio deve farsi carico delle eccezioni, sollevate dalla difesa del Comune, di </w:t>
      </w:r>
      <w:r w:rsidRPr="001839E3">
        <w:rPr>
          <w:rFonts w:ascii="Times New Roman" w:eastAsia="Times New Roman" w:hAnsi="Times New Roman" w:cs="Times New Roman"/>
          <w:color w:val="3D3B39"/>
          <w:lang w:eastAsia="it-IT"/>
        </w:rPr>
        <w:lastRenderedPageBreak/>
        <w:t xml:space="preserve">inammissibilità delle impugnative, per difetto di legittimazione attiva in capo ai ricorrenti e per carenza di omogeneità dell’interesse fatto valere. </w:t>
      </w:r>
      <w:r w:rsidRPr="001839E3">
        <w:rPr>
          <w:rFonts w:ascii="Times New Roman" w:eastAsia="Times New Roman" w:hAnsi="Times New Roman" w:cs="Times New Roman"/>
          <w:color w:val="3D3B39"/>
          <w:lang w:eastAsia="it-IT"/>
        </w:rPr>
        <w:br/>
        <w:t xml:space="preserve">Le eccezione sono infondate. </w:t>
      </w:r>
      <w:r w:rsidRPr="001839E3">
        <w:rPr>
          <w:rFonts w:ascii="Times New Roman" w:eastAsia="Times New Roman" w:hAnsi="Times New Roman" w:cs="Times New Roman"/>
          <w:color w:val="3D3B39"/>
          <w:lang w:eastAsia="it-IT"/>
        </w:rPr>
        <w:br/>
        <w:t xml:space="preserve">I ricorrenti hanno documentato di essere titolari di esercizi commerciali che affacciano su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o che comunque sono posti nelle immediate vicinanze. La </w:t>
      </w:r>
      <w:proofErr w:type="spellStart"/>
      <w:r w:rsidRPr="001839E3">
        <w:rPr>
          <w:rFonts w:ascii="Times New Roman" w:eastAsia="Times New Roman" w:hAnsi="Times New Roman" w:cs="Times New Roman"/>
          <w:color w:val="3D3B39"/>
          <w:lang w:eastAsia="it-IT"/>
        </w:rPr>
        <w:t>vicinitas</w:t>
      </w:r>
      <w:proofErr w:type="spellEnd"/>
      <w:r w:rsidRPr="001839E3">
        <w:rPr>
          <w:rFonts w:ascii="Times New Roman" w:eastAsia="Times New Roman" w:hAnsi="Times New Roman" w:cs="Times New Roman"/>
          <w:color w:val="3D3B39"/>
          <w:lang w:eastAsia="it-IT"/>
        </w:rPr>
        <w:t xml:space="preserve">, ossia lo stabile collegamento con l’area interessata dall’intervento contestato, è fonte di legittimazione, in quanto idonea a differenziare il soggetto dalla generalità dei consociati (cfr., ex </w:t>
      </w:r>
      <w:proofErr w:type="spellStart"/>
      <w:r w:rsidRPr="001839E3">
        <w:rPr>
          <w:rFonts w:ascii="Times New Roman" w:eastAsia="Times New Roman" w:hAnsi="Times New Roman" w:cs="Times New Roman"/>
          <w:color w:val="3D3B39"/>
          <w:lang w:eastAsia="it-IT"/>
        </w:rPr>
        <w:t>plurimis</w:t>
      </w:r>
      <w:proofErr w:type="spellEnd"/>
      <w:r w:rsidRPr="001839E3">
        <w:rPr>
          <w:rFonts w:ascii="Times New Roman" w:eastAsia="Times New Roman" w:hAnsi="Times New Roman" w:cs="Times New Roman"/>
          <w:color w:val="3D3B39"/>
          <w:lang w:eastAsia="it-IT"/>
        </w:rPr>
        <w:t xml:space="preserve">, T.A.R. Lombardia – Milano, Sez. II^, sentenza n. 2183/2017). </w:t>
      </w:r>
      <w:r w:rsidRPr="001839E3">
        <w:rPr>
          <w:rFonts w:ascii="Times New Roman" w:eastAsia="Times New Roman" w:hAnsi="Times New Roman" w:cs="Times New Roman"/>
          <w:color w:val="3D3B39"/>
          <w:lang w:eastAsia="it-IT"/>
        </w:rPr>
        <w:br/>
        <w:t xml:space="preserve">D’altro canto, come indicato al punto che precede, i commercianti hanno ben rappresentato quale sia l’interesse sotteso all’azione giudiziale e quale sia l’utilità che intendono conseguire dal giudizio, ovverosia impedire un progressivo allontanamento della potenziale clientela da quella zona della città ed evitare che in caso di forti piogge i negozi finiscano allagati. Il che rende ammissibile l’azione </w:t>
      </w:r>
      <w:proofErr w:type="spellStart"/>
      <w:r w:rsidRPr="001839E3">
        <w:rPr>
          <w:rFonts w:ascii="Times New Roman" w:eastAsia="Times New Roman" w:hAnsi="Times New Roman" w:cs="Times New Roman"/>
          <w:color w:val="3D3B39"/>
          <w:lang w:eastAsia="it-IT"/>
        </w:rPr>
        <w:t>caducatoria</w:t>
      </w:r>
      <w:proofErr w:type="spellEnd"/>
      <w:r w:rsidRPr="001839E3">
        <w:rPr>
          <w:rFonts w:ascii="Times New Roman" w:eastAsia="Times New Roman" w:hAnsi="Times New Roman" w:cs="Times New Roman"/>
          <w:color w:val="3D3B39"/>
          <w:lang w:eastAsia="it-IT"/>
        </w:rPr>
        <w:t xml:space="preserve"> intrapresa. </w:t>
      </w:r>
      <w:r w:rsidRPr="001839E3">
        <w:rPr>
          <w:rFonts w:ascii="Times New Roman" w:eastAsia="Times New Roman" w:hAnsi="Times New Roman" w:cs="Times New Roman"/>
          <w:color w:val="3D3B39"/>
          <w:lang w:eastAsia="it-IT"/>
        </w:rPr>
        <w:br/>
        <w:t xml:space="preserve">A sua volta, l’Associazione Amici di Via di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che pure ha promosso il presente giudizio, costituitasi nell’ottobre 1968, a termini di Statuto ha tra i propri scopi quello di «impedire che si attuino opere pubbliche e private tali da recare danno estetico alla strada stessa» e quello di favorire le esigenze «economico-professionali dei frontisti». Si tratta, all’evidenza, di obiettivi compatibili con quelli perseguiti dagli altri ricorrenti, i quali a ben vedere non si oppongono all’intervento di riqualificazione in sé, ma alle modalità dell’intervento prescelte dalla Amministrazione comunale e avvallate dalla Soprintendenza. </w:t>
      </w:r>
      <w:r w:rsidRPr="001839E3">
        <w:rPr>
          <w:rFonts w:ascii="Times New Roman" w:eastAsia="Times New Roman" w:hAnsi="Times New Roman" w:cs="Times New Roman"/>
          <w:color w:val="3D3B39"/>
          <w:lang w:eastAsia="it-IT"/>
        </w:rPr>
        <w:br/>
        <w:t xml:space="preserve">2.2. Sempre preliminarmente, il Collegio deve farsi carico dell’eccezione, parimenti sollevata dalla difesa del Comune, di improcedibilità delle impugnative promosse in questo giudizio, per non avere i ricorrenti gravato la determina di aggiudicazione definitiva dell’appalto dei lavori di risanamento conservativo di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Anche questa eccezione è infondata. </w:t>
      </w:r>
      <w:r w:rsidRPr="001839E3">
        <w:rPr>
          <w:rFonts w:ascii="Times New Roman" w:eastAsia="Times New Roman" w:hAnsi="Times New Roman" w:cs="Times New Roman"/>
          <w:color w:val="3D3B39"/>
          <w:lang w:eastAsia="it-IT"/>
        </w:rPr>
        <w:br/>
        <w:t xml:space="preserve">La legittimazione a contestare gli esiti della procedura di evidenza pubblica spetta esclusivamente a chi ha partecipato alla gara o, al più, all’operatore economico del settore che contesti l’esperimento della gara stessa o le regole che ne hanno impedito la partecipazione (cfr., T.A.R. Toscana, Sez. III^, sentenza n. 1363/2017). Dunque, i ricorrenti, che – all’evidenza – non rientrano in nessuna delle due categorie, non avrebbero avuto legittimazione al ricorso. </w:t>
      </w:r>
      <w:r w:rsidRPr="001839E3">
        <w:rPr>
          <w:rFonts w:ascii="Times New Roman" w:eastAsia="Times New Roman" w:hAnsi="Times New Roman" w:cs="Times New Roman"/>
          <w:color w:val="3D3B39"/>
          <w:lang w:eastAsia="it-IT"/>
        </w:rPr>
        <w:br/>
        <w:t xml:space="preserve">D’altro canto, l’aggiudicazione all’appalto presuppone che il progetto messo a gara sia validamente stato approvato. Sicché, l’eventuale accoglimento delle domande di annullamento promosse dai ricorrenti avrebbe effetti caducanti sull’atto di aggiudicazione dell’appalto de quo (cfr., T.A.R. Lazio – Latina, sentenza n. 372/2014). </w:t>
      </w:r>
      <w:r w:rsidRPr="001839E3">
        <w:rPr>
          <w:rFonts w:ascii="Times New Roman" w:eastAsia="Times New Roman" w:hAnsi="Times New Roman" w:cs="Times New Roman"/>
          <w:color w:val="3D3B39"/>
          <w:lang w:eastAsia="it-IT"/>
        </w:rPr>
        <w:br/>
        <w:t xml:space="preserve">3.1. Riconosciuta, quindi la legittimazione e l’interesse ad agire in capo ai ricorrenti, va considerato che alla camera di consiglio del 7 giugno 2017 il Tribunale ha rilevato ex officio, giusta quanto dispone l’articolo 73, comma 3, Cod. </w:t>
      </w:r>
      <w:proofErr w:type="spellStart"/>
      <w:r w:rsidRPr="001839E3">
        <w:rPr>
          <w:rFonts w:ascii="Times New Roman" w:eastAsia="Times New Roman" w:hAnsi="Times New Roman" w:cs="Times New Roman"/>
          <w:color w:val="3D3B39"/>
          <w:lang w:eastAsia="it-IT"/>
        </w:rPr>
        <w:t>proc</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amm</w:t>
      </w:r>
      <w:proofErr w:type="spellEnd"/>
      <w:r w:rsidRPr="001839E3">
        <w:rPr>
          <w:rFonts w:ascii="Times New Roman" w:eastAsia="Times New Roman" w:hAnsi="Times New Roman" w:cs="Times New Roman"/>
          <w:color w:val="3D3B39"/>
          <w:lang w:eastAsia="it-IT"/>
        </w:rPr>
        <w:t xml:space="preserve">., che, se l’interesse al ricorso si sostanzia nel prevenire l’utilizzo della pietra </w:t>
      </w:r>
      <w:proofErr w:type="spellStart"/>
      <w:r w:rsidRPr="001839E3">
        <w:rPr>
          <w:rFonts w:ascii="Times New Roman" w:eastAsia="Times New Roman" w:hAnsi="Times New Roman" w:cs="Times New Roman"/>
          <w:color w:val="3D3B39"/>
          <w:lang w:eastAsia="it-IT"/>
        </w:rPr>
        <w:t>piasentina</w:t>
      </w:r>
      <w:proofErr w:type="spellEnd"/>
      <w:r w:rsidRPr="001839E3">
        <w:rPr>
          <w:rFonts w:ascii="Times New Roman" w:eastAsia="Times New Roman" w:hAnsi="Times New Roman" w:cs="Times New Roman"/>
          <w:color w:val="3D3B39"/>
          <w:lang w:eastAsia="it-IT"/>
        </w:rPr>
        <w:t xml:space="preserve">, allora la lesione va ricondotta alla deliberazione di approvazione del progetto preliminare, risalente al 2012. </w:t>
      </w:r>
      <w:r w:rsidRPr="001839E3">
        <w:rPr>
          <w:rFonts w:ascii="Times New Roman" w:eastAsia="Times New Roman" w:hAnsi="Times New Roman" w:cs="Times New Roman"/>
          <w:color w:val="3D3B39"/>
          <w:lang w:eastAsia="it-IT"/>
        </w:rPr>
        <w:br/>
        <w:t xml:space="preserve">3.2. Sempre nell’esercizio dei poteri officiosi, alla pubblica udienza del 7 marzo 2018 il Tribunale ha rilevato l’improcedibilità del ricorso principale e del primo ricorso per motivi aggiunti perché impugnano il progetto esecutivo originario, che poi è stato oggetto di una nuova approvazione, e l’inammissibilità del quinto ricorso per motivi aggiunti perché volto all’annullamento di un atto non avente natura </w:t>
      </w:r>
      <w:proofErr w:type="spellStart"/>
      <w:r w:rsidRPr="001839E3">
        <w:rPr>
          <w:rFonts w:ascii="Times New Roman" w:eastAsia="Times New Roman" w:hAnsi="Times New Roman" w:cs="Times New Roman"/>
          <w:color w:val="3D3B39"/>
          <w:lang w:eastAsia="it-IT"/>
        </w:rPr>
        <w:t>provvedimentale</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3.3.1. Il Collegio ritiene che meritino riconferma i </w:t>
      </w:r>
      <w:proofErr w:type="spellStart"/>
      <w:r w:rsidRPr="001839E3">
        <w:rPr>
          <w:rFonts w:ascii="Times New Roman" w:eastAsia="Times New Roman" w:hAnsi="Times New Roman" w:cs="Times New Roman"/>
          <w:color w:val="3D3B39"/>
          <w:lang w:eastAsia="it-IT"/>
        </w:rPr>
        <w:t>suvvisti</w:t>
      </w:r>
      <w:proofErr w:type="spellEnd"/>
      <w:r w:rsidRPr="001839E3">
        <w:rPr>
          <w:rFonts w:ascii="Times New Roman" w:eastAsia="Times New Roman" w:hAnsi="Times New Roman" w:cs="Times New Roman"/>
          <w:color w:val="3D3B39"/>
          <w:lang w:eastAsia="it-IT"/>
        </w:rPr>
        <w:t xml:space="preserve"> rilievi. </w:t>
      </w:r>
      <w:r w:rsidRPr="001839E3">
        <w:rPr>
          <w:rFonts w:ascii="Times New Roman" w:eastAsia="Times New Roman" w:hAnsi="Times New Roman" w:cs="Times New Roman"/>
          <w:color w:val="3D3B39"/>
          <w:lang w:eastAsia="it-IT"/>
        </w:rPr>
        <w:br/>
        <w:t xml:space="preserve">3.3.2. Quanto alla scelta di rifare la pavimentazione della strada in pietra </w:t>
      </w:r>
      <w:proofErr w:type="spellStart"/>
      <w:r w:rsidRPr="001839E3">
        <w:rPr>
          <w:rFonts w:ascii="Times New Roman" w:eastAsia="Times New Roman" w:hAnsi="Times New Roman" w:cs="Times New Roman"/>
          <w:color w:val="3D3B39"/>
          <w:lang w:eastAsia="it-IT"/>
        </w:rPr>
        <w:t>piasentina</w:t>
      </w:r>
      <w:proofErr w:type="spellEnd"/>
      <w:r w:rsidRPr="001839E3">
        <w:rPr>
          <w:rFonts w:ascii="Times New Roman" w:eastAsia="Times New Roman" w:hAnsi="Times New Roman" w:cs="Times New Roman"/>
          <w:color w:val="3D3B39"/>
          <w:lang w:eastAsia="it-IT"/>
        </w:rPr>
        <w:t xml:space="preserve">, essa risale alla conferenza di servizi 20.07.2012, i cui esiti sono stati fatti propri dalla deliberazione della Giunta comunale n. 330 del 5.10.2012 di approvazione del progetto definitivo dei lavori. In particolare, la Soprintendenza nella testé ricordata conferenza di servizi ha espresso parere favorevole sulla soluzione proposta dal Comune, ovverosia la pavimentazione della via e delle piazze adiacenti con «lastre in pietra </w:t>
      </w:r>
      <w:proofErr w:type="spellStart"/>
      <w:r w:rsidRPr="001839E3">
        <w:rPr>
          <w:rFonts w:ascii="Times New Roman" w:eastAsia="Times New Roman" w:hAnsi="Times New Roman" w:cs="Times New Roman"/>
          <w:color w:val="3D3B39"/>
          <w:lang w:eastAsia="it-IT"/>
        </w:rPr>
        <w:t>piasentina</w:t>
      </w:r>
      <w:proofErr w:type="spellEnd"/>
      <w:r w:rsidRPr="001839E3">
        <w:rPr>
          <w:rFonts w:ascii="Times New Roman" w:eastAsia="Times New Roman" w:hAnsi="Times New Roman" w:cs="Times New Roman"/>
          <w:color w:val="3D3B39"/>
          <w:lang w:eastAsia="it-IT"/>
        </w:rPr>
        <w:t xml:space="preserve"> trattata “bocciardata” di dimensioni in larghezza cc. cm. 34(35 montate “a correre” in senso trasversale». </w:t>
      </w:r>
      <w:r w:rsidRPr="001839E3">
        <w:rPr>
          <w:rFonts w:ascii="Times New Roman" w:eastAsia="Times New Roman" w:hAnsi="Times New Roman" w:cs="Times New Roman"/>
          <w:color w:val="3D3B39"/>
          <w:lang w:eastAsia="it-IT"/>
        </w:rPr>
        <w:br/>
        <w:t xml:space="preserve">Ne consegue che rispetto alla deliberazione giuntale n. 330/2012 il ricorso principale, notificato in data 17 marzo 2017 risulta irrimediabilmente tardivo. </w:t>
      </w:r>
      <w:r w:rsidRPr="001839E3">
        <w:rPr>
          <w:rFonts w:ascii="Times New Roman" w:eastAsia="Times New Roman" w:hAnsi="Times New Roman" w:cs="Times New Roman"/>
          <w:color w:val="3D3B39"/>
          <w:lang w:eastAsia="it-IT"/>
        </w:rPr>
        <w:br/>
        <w:t xml:space="preserve">Né, d’altro canto, può convenirsi con i ricorrenti, laddove sostengono che solo con l’approvazione del progetto esecutivo la lesione dell’interesse di cui sono titolari sia divenuta attuale. Invero, con il progetto definitivo «l’opera pubblica assume una stabile connotazione che consente di valutare appieno i profili di interferenza con le posizioni giuridiche dei soggetti confinanti» (nel caso di specie, la pavimentazione in pietra </w:t>
      </w:r>
      <w:proofErr w:type="spellStart"/>
      <w:r w:rsidRPr="001839E3">
        <w:rPr>
          <w:rFonts w:ascii="Times New Roman" w:eastAsia="Times New Roman" w:hAnsi="Times New Roman" w:cs="Times New Roman"/>
          <w:color w:val="3D3B39"/>
          <w:lang w:eastAsia="it-IT"/>
        </w:rPr>
        <w:t>piasentina</w:t>
      </w:r>
      <w:proofErr w:type="spellEnd"/>
      <w:r w:rsidRPr="001839E3">
        <w:rPr>
          <w:rFonts w:ascii="Times New Roman" w:eastAsia="Times New Roman" w:hAnsi="Times New Roman" w:cs="Times New Roman"/>
          <w:color w:val="3D3B39"/>
          <w:lang w:eastAsia="it-IT"/>
        </w:rPr>
        <w:t xml:space="preserve">), sicché è il progetto definitivo il primo atto che deve essere impugnato da chi assume di essere negativamente inciso dall’opera medesima (cfr., T.A.R. Liguria, Sez. I^, sentenza n. 788/2016). Il </w:t>
      </w:r>
      <w:r w:rsidRPr="001839E3">
        <w:rPr>
          <w:rFonts w:ascii="Times New Roman" w:eastAsia="Times New Roman" w:hAnsi="Times New Roman" w:cs="Times New Roman"/>
          <w:color w:val="3D3B39"/>
          <w:lang w:eastAsia="it-IT"/>
        </w:rPr>
        <w:lastRenderedPageBreak/>
        <w:t xml:space="preserve">progetto esecutivo, si è limitato a definire il dimensionamento delle lastre, ma non il materiale delle stesse. </w:t>
      </w:r>
      <w:r w:rsidRPr="001839E3">
        <w:rPr>
          <w:rFonts w:ascii="Times New Roman" w:eastAsia="Times New Roman" w:hAnsi="Times New Roman" w:cs="Times New Roman"/>
          <w:color w:val="3D3B39"/>
          <w:lang w:eastAsia="it-IT"/>
        </w:rPr>
        <w:br/>
        <w:t xml:space="preserve">In definitiva, la scelta della pietra </w:t>
      </w:r>
      <w:proofErr w:type="spellStart"/>
      <w:r w:rsidRPr="001839E3">
        <w:rPr>
          <w:rFonts w:ascii="Times New Roman" w:eastAsia="Times New Roman" w:hAnsi="Times New Roman" w:cs="Times New Roman"/>
          <w:color w:val="3D3B39"/>
          <w:lang w:eastAsia="it-IT"/>
        </w:rPr>
        <w:t>piasentina</w:t>
      </w:r>
      <w:proofErr w:type="spellEnd"/>
      <w:r w:rsidRPr="001839E3">
        <w:rPr>
          <w:rFonts w:ascii="Times New Roman" w:eastAsia="Times New Roman" w:hAnsi="Times New Roman" w:cs="Times New Roman"/>
          <w:color w:val="3D3B39"/>
          <w:lang w:eastAsia="it-IT"/>
        </w:rPr>
        <w:t xml:space="preserve"> è inoppugnabile. </w:t>
      </w:r>
      <w:r w:rsidRPr="001839E3">
        <w:rPr>
          <w:rFonts w:ascii="Times New Roman" w:eastAsia="Times New Roman" w:hAnsi="Times New Roman" w:cs="Times New Roman"/>
          <w:color w:val="3D3B39"/>
          <w:lang w:eastAsia="it-IT"/>
        </w:rPr>
        <w:br/>
        <w:t xml:space="preserve">3.3.3. Quanto al progetto esecutivo aggiornato, approvato con deliberazione della Giunta comunale n. 186/2017, prescindendo per il momento dalla questione se si tratti di un nuovo progetto o dello stesso progetto originario, è indubbio che la </w:t>
      </w:r>
      <w:proofErr w:type="spellStart"/>
      <w:r w:rsidRPr="001839E3">
        <w:rPr>
          <w:rFonts w:ascii="Times New Roman" w:eastAsia="Times New Roman" w:hAnsi="Times New Roman" w:cs="Times New Roman"/>
          <w:color w:val="3D3B39"/>
          <w:lang w:eastAsia="it-IT"/>
        </w:rPr>
        <w:t>suvvista</w:t>
      </w:r>
      <w:proofErr w:type="spellEnd"/>
      <w:r w:rsidRPr="001839E3">
        <w:rPr>
          <w:rFonts w:ascii="Times New Roman" w:eastAsia="Times New Roman" w:hAnsi="Times New Roman" w:cs="Times New Roman"/>
          <w:color w:val="3D3B39"/>
          <w:lang w:eastAsia="it-IT"/>
        </w:rPr>
        <w:t xml:space="preserve"> deliberazione non si sia limitata ad approvare gli ulteriori documenti inseriti in progetto (i.e. Relazione idrogeologica e idraulica; Relazione sulla verifica del dimensionamento della nuova pavimentazione stradale in pietra </w:t>
      </w:r>
      <w:proofErr w:type="spellStart"/>
      <w:r w:rsidRPr="001839E3">
        <w:rPr>
          <w:rFonts w:ascii="Times New Roman" w:eastAsia="Times New Roman" w:hAnsi="Times New Roman" w:cs="Times New Roman"/>
          <w:color w:val="3D3B39"/>
          <w:lang w:eastAsia="it-IT"/>
        </w:rPr>
        <w:t>piasentina</w:t>
      </w:r>
      <w:proofErr w:type="spellEnd"/>
      <w:r w:rsidRPr="001839E3">
        <w:rPr>
          <w:rFonts w:ascii="Times New Roman" w:eastAsia="Times New Roman" w:hAnsi="Times New Roman" w:cs="Times New Roman"/>
          <w:color w:val="3D3B39"/>
          <w:lang w:eastAsia="it-IT"/>
        </w:rPr>
        <w:t xml:space="preserve">), ma riapprovi tutti i documenti e le tavole grafiche dello stesso. </w:t>
      </w:r>
      <w:r w:rsidRPr="001839E3">
        <w:rPr>
          <w:rFonts w:ascii="Times New Roman" w:eastAsia="Times New Roman" w:hAnsi="Times New Roman" w:cs="Times New Roman"/>
          <w:color w:val="3D3B39"/>
          <w:lang w:eastAsia="it-IT"/>
        </w:rPr>
        <w:br/>
        <w:t xml:space="preserve">Dunque, il progetto aggiornato sostituisce e non semplicemente integra il precedente progetto esecutivo, con la conseguenza di rendere improcedibili il ricorso principale e il primo ricorso per motivi aggiunti in quanto diretti ad ottenere l’annullamento di un atto già ritirato dalla Amministrazione. D’altro canto, sono gli stessi deducenti ad affermare che il nuovo progetto sostituisce quello precedente, per sanarne i vizi già stigmatizzati in sede giudiziale. </w:t>
      </w:r>
      <w:r w:rsidRPr="001839E3">
        <w:rPr>
          <w:rFonts w:ascii="Times New Roman" w:eastAsia="Times New Roman" w:hAnsi="Times New Roman" w:cs="Times New Roman"/>
          <w:color w:val="3D3B39"/>
          <w:lang w:eastAsia="it-IT"/>
        </w:rPr>
        <w:br/>
        <w:t xml:space="preserve">Né, d’altro canto, può convenirsi con parte ricorrente, laddove osserva che con il ricorso principale non è stato impugnato solamente l’atto di approvazione del primo progetto esecutivo, ma anche gli atti presupposti, e che con il primo ricorso per motivi aggiunti è stata impugnata anche l’autorizzazione della Soprintendenza n. 5453/2017. </w:t>
      </w:r>
      <w:r w:rsidRPr="001839E3">
        <w:rPr>
          <w:rFonts w:ascii="Times New Roman" w:eastAsia="Times New Roman" w:hAnsi="Times New Roman" w:cs="Times New Roman"/>
          <w:color w:val="3D3B39"/>
          <w:lang w:eastAsia="it-IT"/>
        </w:rPr>
        <w:br/>
        <w:t xml:space="preserve">Vero è, da un lato, che pure l’autorizzazione della Soprintendenza n. 5453/2017 è stata superata dal successivo parere favorevole dell’Organo ministeriale pronunciato sul secondo progetto esecutivo; e, dall’altro lato, che gli atti presupposti impugnati in uno con la deliberazione di approvazione del progetto esecutivo non sono stati oggetto di specifiche censure. </w:t>
      </w:r>
      <w:r w:rsidRPr="001839E3">
        <w:rPr>
          <w:rFonts w:ascii="Times New Roman" w:eastAsia="Times New Roman" w:hAnsi="Times New Roman" w:cs="Times New Roman"/>
          <w:color w:val="3D3B39"/>
          <w:lang w:eastAsia="it-IT"/>
        </w:rPr>
        <w:br/>
        <w:t xml:space="preserve">3.3.4. Quanto, invece, alla memoria impugnata con il quinto ricorso per motivi aggiunti, si tratta indubbiamente di un atto difensivo, non fosse altro perché reca in calce le sottoscrizioni dei difensori officiati del Comune. Pertanto, ancorché al suo interno riproduca le considerazioni tecniche del consulente dell’Amministrazione, in quanto atto difensivo non è impugnabile. </w:t>
      </w:r>
      <w:r w:rsidRPr="001839E3">
        <w:rPr>
          <w:rFonts w:ascii="Times New Roman" w:eastAsia="Times New Roman" w:hAnsi="Times New Roman" w:cs="Times New Roman"/>
          <w:color w:val="3D3B39"/>
          <w:lang w:eastAsia="it-IT"/>
        </w:rPr>
        <w:br/>
        <w:t xml:space="preserve">Semmai la memoria in questione potrà operare una integrazione postuma della motivazione, ma non certo assurgere ad atto </w:t>
      </w:r>
      <w:proofErr w:type="spellStart"/>
      <w:r w:rsidRPr="001839E3">
        <w:rPr>
          <w:rFonts w:ascii="Times New Roman" w:eastAsia="Times New Roman" w:hAnsi="Times New Roman" w:cs="Times New Roman"/>
          <w:color w:val="3D3B39"/>
          <w:lang w:eastAsia="it-IT"/>
        </w:rPr>
        <w:t>provvedimentale</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3.5. Per l’effetto al Collegio resta da pronunciarsi sul secondo, sul terzo e sul quarto ricorso per motivi aggiunti, nella parte in cui chiedono l’annullamento della deliberazione della Giunta comunale n. 186/2017 di approvazione del progetto esecutivo aggiornato ivi compresa la relazione idrologica e idraulica e gli atti presupposti, della autorizzazione della Soprintendenza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n. 15206 del 25.09.2017, e della lettera del Comune di trasmissione alla Soprintendenza del progetto esecutivo aggiornato. </w:t>
      </w:r>
      <w:r w:rsidRPr="001839E3">
        <w:rPr>
          <w:rFonts w:ascii="Times New Roman" w:eastAsia="Times New Roman" w:hAnsi="Times New Roman" w:cs="Times New Roman"/>
          <w:color w:val="3D3B39"/>
          <w:lang w:eastAsia="it-IT"/>
        </w:rPr>
        <w:br/>
        <w:t xml:space="preserve">4.1. Con il secondo ricorso per motivi aggiunti, avente ad oggetto per l’appunto la deliberazione comunale di approvazione del progetto esecutivo aggiornato, parte ricorrente deduce i seguenti motivi di illegittimità: </w:t>
      </w:r>
      <w:r w:rsidRPr="001839E3">
        <w:rPr>
          <w:rFonts w:ascii="Times New Roman" w:eastAsia="Times New Roman" w:hAnsi="Times New Roman" w:cs="Times New Roman"/>
          <w:color w:val="3D3B39"/>
          <w:lang w:eastAsia="it-IT"/>
        </w:rPr>
        <w:br/>
        <w:t>I^. “</w:t>
      </w:r>
      <w:r w:rsidRPr="001839E3">
        <w:rPr>
          <w:rFonts w:ascii="Times New Roman" w:eastAsia="Times New Roman" w:hAnsi="Times New Roman" w:cs="Times New Roman"/>
          <w:i/>
          <w:iCs/>
          <w:color w:val="3D3B39"/>
          <w:lang w:eastAsia="it-IT"/>
        </w:rPr>
        <w:t>Violazione di legge (artt. 23, 106 e 216 d.lgs. 18 aprile 2016, n. 50, anche in relazione alle richiamate disposizioni del d.lgs. 12 aprile 2006, n. 163 e del D.P.R. 5 ottobre 2010, n. 207 in quanto transitoriamente applicabili – art. 21 bis ss. l. 7 agosto 1990, n. 241) – Illegittimità propria e derivata – Illogicità e contraddittorietà – Sviamento dalla causa tipica – Violazione del principio di tipicità degli atti amministrativi</w:t>
      </w:r>
      <w:r w:rsidRPr="001839E3">
        <w:rPr>
          <w:rFonts w:ascii="Times New Roman" w:eastAsia="Times New Roman" w:hAnsi="Times New Roman" w:cs="Times New Roman"/>
          <w:color w:val="3D3B39"/>
          <w:lang w:eastAsia="it-IT"/>
        </w:rPr>
        <w:t xml:space="preserve">”, perché, presentando il nuovo progetto rilevanti modifiche nel sistema di drenaggio e di scolo delle acque, la procedura doveva ripartire dai precedenti livelli di progettazione, e perché, con uno sviamento dalla causa tipica, la nuova approvazione serve solo a sanare i vizi che affliggevano la deliberazione giuntale di approvazione dell’originario progetto esecutivo; </w:t>
      </w:r>
      <w:r w:rsidRPr="001839E3">
        <w:rPr>
          <w:rFonts w:ascii="Times New Roman" w:eastAsia="Times New Roman" w:hAnsi="Times New Roman" w:cs="Times New Roman"/>
          <w:color w:val="3D3B39"/>
          <w:lang w:eastAsia="it-IT"/>
        </w:rPr>
        <w:br/>
        <w:t>II^. “</w:t>
      </w:r>
      <w:r w:rsidRPr="001839E3">
        <w:rPr>
          <w:rFonts w:ascii="Times New Roman" w:eastAsia="Times New Roman" w:hAnsi="Times New Roman" w:cs="Times New Roman"/>
          <w:i/>
          <w:iCs/>
          <w:color w:val="3D3B39"/>
          <w:lang w:eastAsia="it-IT"/>
        </w:rPr>
        <w:t>Violazione di legge (art. 23 d.lgs. 18 aprile 2016, n. 50) – Illegittimità propria e derivata – Illogicità e contraddittorietà – Difetto di istruttoria e di motivazione – Errore di fatto</w:t>
      </w:r>
      <w:r w:rsidRPr="001839E3">
        <w:rPr>
          <w:rFonts w:ascii="Times New Roman" w:eastAsia="Times New Roman" w:hAnsi="Times New Roman" w:cs="Times New Roman"/>
          <w:color w:val="3D3B39"/>
          <w:lang w:eastAsia="it-IT"/>
        </w:rPr>
        <w:t xml:space="preserve">”, perché la motivazione della nuova approvazione evidenzia le carenze di istruttoria del primo progetto, e perché anche il nuovo progetto non affronta adeguatamente il problema delle precipitazioni abbondanti (fenomeno tutt’altro che inconsueto), prendendo in considerazione solamente i dati della piovosità sino al 2011 e non anche quelli degli anni successivi in cui vi è stato un marcato aumento delle precipitazioni; </w:t>
      </w:r>
      <w:r w:rsidRPr="001839E3">
        <w:rPr>
          <w:rFonts w:ascii="Times New Roman" w:eastAsia="Times New Roman" w:hAnsi="Times New Roman" w:cs="Times New Roman"/>
          <w:color w:val="3D3B39"/>
          <w:lang w:eastAsia="it-IT"/>
        </w:rPr>
        <w:br/>
        <w:t>III^. “</w:t>
      </w:r>
      <w:r w:rsidRPr="001839E3">
        <w:rPr>
          <w:rFonts w:ascii="Times New Roman" w:eastAsia="Times New Roman" w:hAnsi="Times New Roman" w:cs="Times New Roman"/>
          <w:i/>
          <w:iCs/>
          <w:color w:val="3D3B39"/>
          <w:lang w:eastAsia="it-IT"/>
        </w:rPr>
        <w:t>Violazione di legge (art. 21 d.lgs. 22 gennaio 2004, n. 42) – Illegittimità propria e derivata – Illogicità e contraddittorietà – Difetto di istruttoria e di motivazione – Errore di fatto</w:t>
      </w:r>
      <w:r w:rsidRPr="001839E3">
        <w:rPr>
          <w:rFonts w:ascii="Times New Roman" w:eastAsia="Times New Roman" w:hAnsi="Times New Roman" w:cs="Times New Roman"/>
          <w:color w:val="3D3B39"/>
          <w:lang w:eastAsia="it-IT"/>
        </w:rPr>
        <w:t xml:space="preserve">”, perché trattandosi di progetto nuovo doveva essere nuovamente sottoposto al parere della Soprintendenza; </w:t>
      </w:r>
      <w:r w:rsidRPr="001839E3">
        <w:rPr>
          <w:rFonts w:ascii="Times New Roman" w:eastAsia="Times New Roman" w:hAnsi="Times New Roman" w:cs="Times New Roman"/>
          <w:color w:val="3D3B39"/>
          <w:lang w:eastAsia="it-IT"/>
        </w:rPr>
        <w:br/>
        <w:t>IV^. “</w:t>
      </w:r>
      <w:r w:rsidRPr="001839E3">
        <w:rPr>
          <w:rFonts w:ascii="Times New Roman" w:eastAsia="Times New Roman" w:hAnsi="Times New Roman" w:cs="Times New Roman"/>
          <w:i/>
          <w:iCs/>
          <w:color w:val="3D3B39"/>
          <w:lang w:eastAsia="it-IT"/>
        </w:rPr>
        <w:t>Violazione di legge (art. 6 bis l. 7.08.1990, n. 241 – artt. 11 e 12 del “codice di comportamento del Comune di Udine” – art. 7 D.P.R. 16.04.2013, n. 62) – Illegittimità propria e derivata</w:t>
      </w:r>
      <w:r w:rsidRPr="001839E3">
        <w:rPr>
          <w:rFonts w:ascii="Times New Roman" w:eastAsia="Times New Roman" w:hAnsi="Times New Roman" w:cs="Times New Roman"/>
          <w:color w:val="3D3B39"/>
          <w:lang w:eastAsia="it-IT"/>
        </w:rPr>
        <w:t xml:space="preserve">”, perché l’arch. Barbara Gentilini, dirigente del Settore comunale competente si era nominata progettista dell’opera, determinando un palese conflitto di interessi; </w:t>
      </w:r>
      <w:r w:rsidRPr="001839E3">
        <w:rPr>
          <w:rFonts w:ascii="Times New Roman" w:eastAsia="Times New Roman" w:hAnsi="Times New Roman" w:cs="Times New Roman"/>
          <w:color w:val="3D3B39"/>
          <w:lang w:eastAsia="it-IT"/>
        </w:rPr>
        <w:br/>
        <w:t>V^. “</w:t>
      </w:r>
      <w:r w:rsidRPr="001839E3">
        <w:rPr>
          <w:rFonts w:ascii="Times New Roman" w:eastAsia="Times New Roman" w:hAnsi="Times New Roman" w:cs="Times New Roman"/>
          <w:i/>
          <w:iCs/>
          <w:color w:val="3D3B39"/>
          <w:lang w:eastAsia="it-IT"/>
        </w:rPr>
        <w:t xml:space="preserve">Violazione di legge (art. 9 D.P.R. 5.10.2010, n. 207 – art. 31 d.lgs. 18.04.2016, n. 50, in relazione alle </w:t>
      </w:r>
      <w:r w:rsidRPr="001839E3">
        <w:rPr>
          <w:rFonts w:ascii="Times New Roman" w:eastAsia="Times New Roman" w:hAnsi="Times New Roman" w:cs="Times New Roman"/>
          <w:i/>
          <w:iCs/>
          <w:color w:val="3D3B39"/>
          <w:lang w:eastAsia="it-IT"/>
        </w:rPr>
        <w:lastRenderedPageBreak/>
        <w:t xml:space="preserve">“Linee Guida” n. 3 </w:t>
      </w:r>
      <w:proofErr w:type="spellStart"/>
      <w:r w:rsidRPr="001839E3">
        <w:rPr>
          <w:rFonts w:ascii="Times New Roman" w:eastAsia="Times New Roman" w:hAnsi="Times New Roman" w:cs="Times New Roman"/>
          <w:i/>
          <w:iCs/>
          <w:color w:val="3D3B39"/>
          <w:lang w:eastAsia="it-IT"/>
        </w:rPr>
        <w:t>dd</w:t>
      </w:r>
      <w:proofErr w:type="spellEnd"/>
      <w:r w:rsidRPr="001839E3">
        <w:rPr>
          <w:rFonts w:ascii="Times New Roman" w:eastAsia="Times New Roman" w:hAnsi="Times New Roman" w:cs="Times New Roman"/>
          <w:i/>
          <w:iCs/>
          <w:color w:val="3D3B39"/>
          <w:lang w:eastAsia="it-IT"/>
        </w:rPr>
        <w:t>. 26.10.2016 di ANAC) – Illegittimità propria e derivata</w:t>
      </w:r>
      <w:r w:rsidRPr="001839E3">
        <w:rPr>
          <w:rFonts w:ascii="Times New Roman" w:eastAsia="Times New Roman" w:hAnsi="Times New Roman" w:cs="Times New Roman"/>
          <w:color w:val="3D3B39"/>
          <w:lang w:eastAsia="it-IT"/>
        </w:rPr>
        <w:t xml:space="preserve">”, perché il RUP non può essere progettista dell’opera; </w:t>
      </w:r>
      <w:r w:rsidRPr="001839E3">
        <w:rPr>
          <w:rFonts w:ascii="Times New Roman" w:eastAsia="Times New Roman" w:hAnsi="Times New Roman" w:cs="Times New Roman"/>
          <w:color w:val="3D3B39"/>
          <w:lang w:eastAsia="it-IT"/>
        </w:rPr>
        <w:br/>
        <w:t>VI^. “</w:t>
      </w:r>
      <w:r w:rsidRPr="001839E3">
        <w:rPr>
          <w:rFonts w:ascii="Times New Roman" w:eastAsia="Times New Roman" w:hAnsi="Times New Roman" w:cs="Times New Roman"/>
          <w:i/>
          <w:iCs/>
          <w:color w:val="3D3B39"/>
          <w:lang w:eastAsia="it-IT"/>
        </w:rPr>
        <w:t xml:space="preserve">Violazione di legge (art. 9 D.P.R. 5.10.2010, n. 207 – art. 31 d.lgs. 18.04.2016, n. 50, in relazione alle “Linee Guida” n. 3 </w:t>
      </w:r>
      <w:proofErr w:type="spellStart"/>
      <w:r w:rsidRPr="001839E3">
        <w:rPr>
          <w:rFonts w:ascii="Times New Roman" w:eastAsia="Times New Roman" w:hAnsi="Times New Roman" w:cs="Times New Roman"/>
          <w:i/>
          <w:iCs/>
          <w:color w:val="3D3B39"/>
          <w:lang w:eastAsia="it-IT"/>
        </w:rPr>
        <w:t>dd</w:t>
      </w:r>
      <w:proofErr w:type="spellEnd"/>
      <w:r w:rsidRPr="001839E3">
        <w:rPr>
          <w:rFonts w:ascii="Times New Roman" w:eastAsia="Times New Roman" w:hAnsi="Times New Roman" w:cs="Times New Roman"/>
          <w:i/>
          <w:iCs/>
          <w:color w:val="3D3B39"/>
          <w:lang w:eastAsia="it-IT"/>
        </w:rPr>
        <w:t>. 26.10.2016 di ANAC) – Illegittimità propria e derivata</w:t>
      </w:r>
      <w:r w:rsidRPr="001839E3">
        <w:rPr>
          <w:rFonts w:ascii="Times New Roman" w:eastAsia="Times New Roman" w:hAnsi="Times New Roman" w:cs="Times New Roman"/>
          <w:color w:val="3D3B39"/>
          <w:lang w:eastAsia="it-IT"/>
        </w:rPr>
        <w:t xml:space="preserve">”, perché continua a mancare agli atti di causa l’atto di nomina dell’arch. Barbara Gentilini a RUP. </w:t>
      </w:r>
      <w:r w:rsidRPr="001839E3">
        <w:rPr>
          <w:rFonts w:ascii="Times New Roman" w:eastAsia="Times New Roman" w:hAnsi="Times New Roman" w:cs="Times New Roman"/>
          <w:color w:val="3D3B39"/>
          <w:lang w:eastAsia="it-IT"/>
        </w:rPr>
        <w:br/>
        <w:t xml:space="preserve">4.2. Con il terzo ricorso per motivi aggiunti, avente ad oggetto il nuovo parere della Soprintendenza, parte ricorrente deduce i seguenti motivi di illegittimità: </w:t>
      </w:r>
      <w:r w:rsidRPr="001839E3">
        <w:rPr>
          <w:rFonts w:ascii="Times New Roman" w:eastAsia="Times New Roman" w:hAnsi="Times New Roman" w:cs="Times New Roman"/>
          <w:color w:val="3D3B39"/>
          <w:lang w:eastAsia="it-IT"/>
        </w:rPr>
        <w:br/>
        <w:t>I^. “</w:t>
      </w:r>
      <w:r w:rsidRPr="001839E3">
        <w:rPr>
          <w:rFonts w:ascii="Times New Roman" w:eastAsia="Times New Roman" w:hAnsi="Times New Roman" w:cs="Times New Roman"/>
          <w:i/>
          <w:iCs/>
          <w:color w:val="3D3B39"/>
          <w:lang w:eastAsia="it-IT"/>
        </w:rPr>
        <w:t>Illegittimità derivata</w:t>
      </w:r>
      <w:r w:rsidRPr="001839E3">
        <w:rPr>
          <w:rFonts w:ascii="Times New Roman" w:eastAsia="Times New Roman" w:hAnsi="Times New Roman" w:cs="Times New Roman"/>
          <w:color w:val="3D3B39"/>
          <w:lang w:eastAsia="it-IT"/>
        </w:rPr>
        <w:t xml:space="preserve">”, per gli stessi motivi che affliggono il progetto esecutivo aggiornato, nonché l’originaria autorizzazione della Soprintendenza; </w:t>
      </w:r>
      <w:r w:rsidRPr="001839E3">
        <w:rPr>
          <w:rFonts w:ascii="Times New Roman" w:eastAsia="Times New Roman" w:hAnsi="Times New Roman" w:cs="Times New Roman"/>
          <w:color w:val="3D3B39"/>
          <w:lang w:eastAsia="it-IT"/>
        </w:rPr>
        <w:br/>
        <w:t>II^. “</w:t>
      </w:r>
      <w:r w:rsidRPr="001839E3">
        <w:rPr>
          <w:rFonts w:ascii="Times New Roman" w:eastAsia="Times New Roman" w:hAnsi="Times New Roman" w:cs="Times New Roman"/>
          <w:i/>
          <w:iCs/>
          <w:color w:val="3D3B39"/>
          <w:lang w:eastAsia="it-IT"/>
        </w:rPr>
        <w:t>Violazione di legge (artt. 10 e 12 d.lgs. 22 gennaio 2004, n. 42 – art. 3 l. 7 agosto 1990, n. 241) – Illegittimità propria e derivata – Illogicità e contraddittorietà – Difetto di istruttoria e di motivazione</w:t>
      </w:r>
      <w:r w:rsidRPr="001839E3">
        <w:rPr>
          <w:rFonts w:ascii="Times New Roman" w:eastAsia="Times New Roman" w:hAnsi="Times New Roman" w:cs="Times New Roman"/>
          <w:color w:val="3D3B39"/>
          <w:lang w:eastAsia="it-IT"/>
        </w:rPr>
        <w:t xml:space="preserve">”, per non avere la Soprintendenza svolto un’autonoma attività istruttoria, avendo di contro accettato per buono quanto dichiarato dal Comune di Udine, ovverosia che il progetto aveva subito modifiche di minima: così facendo, l’Organo ministeriale non si è reso conto delle numerose e sostanziali differenze tra il primo progetto esecutivo e il secondo progetto esecutivo; </w:t>
      </w:r>
      <w:r w:rsidRPr="001839E3">
        <w:rPr>
          <w:rFonts w:ascii="Times New Roman" w:eastAsia="Times New Roman" w:hAnsi="Times New Roman" w:cs="Times New Roman"/>
          <w:color w:val="3D3B39"/>
          <w:lang w:eastAsia="it-IT"/>
        </w:rPr>
        <w:br/>
        <w:t>III^. “</w:t>
      </w:r>
      <w:r w:rsidRPr="001839E3">
        <w:rPr>
          <w:rFonts w:ascii="Times New Roman" w:eastAsia="Times New Roman" w:hAnsi="Times New Roman" w:cs="Times New Roman"/>
          <w:i/>
          <w:iCs/>
          <w:color w:val="3D3B39"/>
          <w:lang w:eastAsia="it-IT"/>
        </w:rPr>
        <w:t>Eccesso di potere – Difetto di istruttoria e contraddittorietà – Errore di fatto e travisamento – Illogicità</w:t>
      </w:r>
      <w:r w:rsidRPr="001839E3">
        <w:rPr>
          <w:rFonts w:ascii="Times New Roman" w:eastAsia="Times New Roman" w:hAnsi="Times New Roman" w:cs="Times New Roman"/>
          <w:color w:val="3D3B39"/>
          <w:lang w:eastAsia="it-IT"/>
        </w:rPr>
        <w:t xml:space="preserve">”, per non essersi la Soprintendenza avveduta che nel nuovo progetto la strada nella sua parte centrale non ha più la baulatura schiena d’asino, ma una pendenza trasversale; così come non si è accorta che è mutato il sistema di scolo e dei </w:t>
      </w:r>
      <w:proofErr w:type="spellStart"/>
      <w:r w:rsidRPr="001839E3">
        <w:rPr>
          <w:rFonts w:ascii="Times New Roman" w:eastAsia="Times New Roman" w:hAnsi="Times New Roman" w:cs="Times New Roman"/>
          <w:color w:val="3D3B39"/>
          <w:lang w:eastAsia="it-IT"/>
        </w:rPr>
        <w:t>sottoservizi</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IV^. “</w:t>
      </w:r>
      <w:r w:rsidRPr="001839E3">
        <w:rPr>
          <w:rFonts w:ascii="Times New Roman" w:eastAsia="Times New Roman" w:hAnsi="Times New Roman" w:cs="Times New Roman"/>
          <w:i/>
          <w:iCs/>
          <w:color w:val="3D3B39"/>
          <w:lang w:eastAsia="it-IT"/>
        </w:rPr>
        <w:t>Eccesso di potere – Difetto di istruttoria, illogicità e contraddittorietà</w:t>
      </w:r>
      <w:r w:rsidRPr="001839E3">
        <w:rPr>
          <w:rFonts w:ascii="Times New Roman" w:eastAsia="Times New Roman" w:hAnsi="Times New Roman" w:cs="Times New Roman"/>
          <w:color w:val="3D3B39"/>
          <w:lang w:eastAsia="it-IT"/>
        </w:rPr>
        <w:t xml:space="preserve">”, per non essersi la Soprintendenza avveduta che il nuovo progetto non è conforme alle prescrizioni impartite nel 2012 in sede di conferenza di servizi, in particolare quanto alla conservazione della pendenza a schiena d’asino. </w:t>
      </w:r>
      <w:r w:rsidRPr="001839E3">
        <w:rPr>
          <w:rFonts w:ascii="Times New Roman" w:eastAsia="Times New Roman" w:hAnsi="Times New Roman" w:cs="Times New Roman"/>
          <w:color w:val="3D3B39"/>
          <w:lang w:eastAsia="it-IT"/>
        </w:rPr>
        <w:br/>
        <w:t xml:space="preserve">4.3. Con il quarto ricorso per motivi aggiunti, avente ad oggetto la nota del Comune di trasmissione del progetto esecutivo aggiornato alla Soprintendenza e il nuovo parere dalla stessa emesso, parte ricorrente deduce i seguenti motivi di illegittimità: </w:t>
      </w:r>
      <w:r w:rsidRPr="001839E3">
        <w:rPr>
          <w:rFonts w:ascii="Times New Roman" w:eastAsia="Times New Roman" w:hAnsi="Times New Roman" w:cs="Times New Roman"/>
          <w:color w:val="3D3B39"/>
          <w:lang w:eastAsia="it-IT"/>
        </w:rPr>
        <w:br/>
        <w:t>I^. “</w:t>
      </w:r>
      <w:r w:rsidRPr="001839E3">
        <w:rPr>
          <w:rFonts w:ascii="Times New Roman" w:eastAsia="Times New Roman" w:hAnsi="Times New Roman" w:cs="Times New Roman"/>
          <w:i/>
          <w:iCs/>
          <w:color w:val="3D3B39"/>
          <w:lang w:eastAsia="it-IT"/>
        </w:rPr>
        <w:t>Eccesso di potere – Sviamento dalla causa tipica – Errore di fatto indotto e difetto di istruttoria</w:t>
      </w:r>
      <w:r w:rsidRPr="001839E3">
        <w:rPr>
          <w:rFonts w:ascii="Times New Roman" w:eastAsia="Times New Roman" w:hAnsi="Times New Roman" w:cs="Times New Roman"/>
          <w:color w:val="3D3B39"/>
          <w:lang w:eastAsia="it-IT"/>
        </w:rPr>
        <w:t xml:space="preserve">”, per avere il Comune volutamente indicato nella nota di accompagnamento del progetto esecutivo riapprovato che le differenze fra i due progetti esecutivi erano minime onde fuorviare la Soprintendenza e ottenere nel minor tempo possibile il parere favorevole, senza attendere gli esiti della verificazione frattanto disposta dal Tribunale; </w:t>
      </w:r>
      <w:r w:rsidRPr="001839E3">
        <w:rPr>
          <w:rFonts w:ascii="Times New Roman" w:eastAsia="Times New Roman" w:hAnsi="Times New Roman" w:cs="Times New Roman"/>
          <w:color w:val="3D3B39"/>
          <w:lang w:eastAsia="it-IT"/>
        </w:rPr>
        <w:br/>
        <w:t>II^. “</w:t>
      </w:r>
      <w:r w:rsidRPr="001839E3">
        <w:rPr>
          <w:rFonts w:ascii="Times New Roman" w:eastAsia="Times New Roman" w:hAnsi="Times New Roman" w:cs="Times New Roman"/>
          <w:i/>
          <w:iCs/>
          <w:color w:val="3D3B39"/>
          <w:lang w:eastAsia="it-IT"/>
        </w:rPr>
        <w:t>Violazione di legge (artt. 10 e 12 d.lgs. 22 gennaio 2004, n. 42 – art. 3 l. 7 agosto 1990, n. 241 – art. 149 d.lgs. 18 aprile 2016, n. 149) – Illegittimità propria e derivata – Difetto di istruttoria e di motivazione – Errore di fatto e travisamento</w:t>
      </w:r>
      <w:r w:rsidRPr="001839E3">
        <w:rPr>
          <w:rFonts w:ascii="Times New Roman" w:eastAsia="Times New Roman" w:hAnsi="Times New Roman" w:cs="Times New Roman"/>
          <w:color w:val="3D3B39"/>
          <w:lang w:eastAsia="it-IT"/>
        </w:rPr>
        <w:t xml:space="preserve">”, perché la lettera del Comune di accompagnamento del progetto esecutivo riapprovato non indica tutte le differenze tra i due progetti e in tal modo ha indotto in errore la Soprintendenza; </w:t>
      </w:r>
      <w:r w:rsidRPr="001839E3">
        <w:rPr>
          <w:rFonts w:ascii="Times New Roman" w:eastAsia="Times New Roman" w:hAnsi="Times New Roman" w:cs="Times New Roman"/>
          <w:color w:val="3D3B39"/>
          <w:lang w:eastAsia="it-IT"/>
        </w:rPr>
        <w:br/>
        <w:t>III^. “</w:t>
      </w:r>
      <w:r w:rsidRPr="001839E3">
        <w:rPr>
          <w:rFonts w:ascii="Times New Roman" w:eastAsia="Times New Roman" w:hAnsi="Times New Roman" w:cs="Times New Roman"/>
          <w:i/>
          <w:iCs/>
          <w:color w:val="3D3B39"/>
          <w:lang w:eastAsia="it-IT"/>
        </w:rPr>
        <w:t xml:space="preserve">Eccesso di potere – Difetto di istruttoria e contraddittorietà – Errore di fatto e travisamento – Illogicità – Violazione di </w:t>
      </w:r>
      <w:proofErr w:type="spellStart"/>
      <w:r w:rsidRPr="001839E3">
        <w:rPr>
          <w:rFonts w:ascii="Times New Roman" w:eastAsia="Times New Roman" w:hAnsi="Times New Roman" w:cs="Times New Roman"/>
          <w:i/>
          <w:iCs/>
          <w:color w:val="3D3B39"/>
          <w:lang w:eastAsia="it-IT"/>
        </w:rPr>
        <w:t>autolimite</w:t>
      </w:r>
      <w:proofErr w:type="spellEnd"/>
      <w:r w:rsidRPr="001839E3">
        <w:rPr>
          <w:rFonts w:ascii="Times New Roman" w:eastAsia="Times New Roman" w:hAnsi="Times New Roman" w:cs="Times New Roman"/>
          <w:color w:val="3D3B39"/>
          <w:lang w:eastAsia="it-IT"/>
        </w:rPr>
        <w:t xml:space="preserve">”, perché il progetto esecutivo non è conforme alle prescrizioni date dalla Soprintendenza nella Conferenza di servizi del 2012, in ordine al fatto che la strada deve restare a schiena d’asino; </w:t>
      </w:r>
      <w:r w:rsidRPr="001839E3">
        <w:rPr>
          <w:rFonts w:ascii="Times New Roman" w:eastAsia="Times New Roman" w:hAnsi="Times New Roman" w:cs="Times New Roman"/>
          <w:color w:val="3D3B39"/>
          <w:lang w:eastAsia="it-IT"/>
        </w:rPr>
        <w:br/>
        <w:t>IV^. “</w:t>
      </w:r>
      <w:r w:rsidRPr="001839E3">
        <w:rPr>
          <w:rFonts w:ascii="Times New Roman" w:eastAsia="Times New Roman" w:hAnsi="Times New Roman" w:cs="Times New Roman"/>
          <w:i/>
          <w:iCs/>
          <w:color w:val="3D3B39"/>
          <w:lang w:eastAsia="it-IT"/>
        </w:rPr>
        <w:t>Violazione di legge (artt. 10 e 12 d.lgs. 22 gennaio 2004, n. 42 – art. 3 l. 7 agosto 1990, n. 241 – art. 149 d.lgs. 18 aprile 2016, n. 149) – Illegittimità propria e derivata – Difetto di istruttoria e di motivazione – Errore di fatto e travisamento – Violazione del principio di tipicità</w:t>
      </w:r>
      <w:r w:rsidRPr="001839E3">
        <w:rPr>
          <w:rFonts w:ascii="Times New Roman" w:eastAsia="Times New Roman" w:hAnsi="Times New Roman" w:cs="Times New Roman"/>
          <w:color w:val="3D3B39"/>
          <w:lang w:eastAsia="it-IT"/>
        </w:rPr>
        <w:t xml:space="preserve">”, perché la Soprintendenza non ha esaminato a fondo il nuovo progetto, onde assumere su di esso una autonoma valutazione. </w:t>
      </w:r>
      <w:r w:rsidRPr="001839E3">
        <w:rPr>
          <w:rFonts w:ascii="Times New Roman" w:eastAsia="Times New Roman" w:hAnsi="Times New Roman" w:cs="Times New Roman"/>
          <w:color w:val="3D3B39"/>
          <w:lang w:eastAsia="it-IT"/>
        </w:rPr>
        <w:br/>
        <w:t xml:space="preserve">5.1. Come anticipato nella parte in fatto, sulla questione se il secondo progetto esecutivo sia un nuovo progetto (così come sostengono i ricorrenti) o, invece, il semplice aggiornamento di quello originario, resosi necessario in ragione degli esiti del subprocedimento di validazione dello stesso (così come sostiene il Comune), con le implicazioni che questo comporta in punto di rinnovamento della fase dei pareri, il Collegio ha disposto una verificazione. </w:t>
      </w:r>
      <w:r w:rsidRPr="001839E3">
        <w:rPr>
          <w:rFonts w:ascii="Times New Roman" w:eastAsia="Times New Roman" w:hAnsi="Times New Roman" w:cs="Times New Roman"/>
          <w:color w:val="3D3B39"/>
          <w:lang w:eastAsia="it-IT"/>
        </w:rPr>
        <w:br/>
        <w:t xml:space="preserve">Al verificatore è stato ordinato redigere una relazione peritale nella quale descrivere «per ciascuna tavola progettuale e per ciascun documento facente parte del progetto esecutivo, le differenze fra quello approvato con deliberazione giuntale n. 186/2017 e quello approvato con deliberazione giuntale n. 528/2016». </w:t>
      </w:r>
      <w:r w:rsidRPr="001839E3">
        <w:rPr>
          <w:rFonts w:ascii="Times New Roman" w:eastAsia="Times New Roman" w:hAnsi="Times New Roman" w:cs="Times New Roman"/>
          <w:color w:val="3D3B39"/>
          <w:lang w:eastAsia="it-IT"/>
        </w:rPr>
        <w:br/>
        <w:t xml:space="preserve">Peraltro, in esito ai rilievi sollevati dalla difesa di parte ricorrente, il Tribunale ha poi disposto una integrazione della verificazione per accertare se «la sezione della strada oggetto di intervento sia stata modificata nel passaggio tra il progetto esecutivo approvato con deliberazione giuntale n. 528/2016 a quello approvato con deliberazione giuntale n. 186/2017, specificando se la baulatura a schiena d’asino sia stata o meno sostituita da una pendenza trasversale da est a ovest, e, in caso positivo, se tale modifica sia intervenuta </w:t>
      </w:r>
      <w:r w:rsidRPr="001839E3">
        <w:rPr>
          <w:rFonts w:ascii="Times New Roman" w:eastAsia="Times New Roman" w:hAnsi="Times New Roman" w:cs="Times New Roman"/>
          <w:color w:val="3D3B39"/>
          <w:lang w:eastAsia="it-IT"/>
        </w:rPr>
        <w:lastRenderedPageBreak/>
        <w:t xml:space="preserve">con il primo o con il secondo progetto esecutivo». </w:t>
      </w:r>
      <w:r w:rsidRPr="001839E3">
        <w:rPr>
          <w:rFonts w:ascii="Times New Roman" w:eastAsia="Times New Roman" w:hAnsi="Times New Roman" w:cs="Times New Roman"/>
          <w:color w:val="3D3B39"/>
          <w:lang w:eastAsia="it-IT"/>
        </w:rPr>
        <w:br/>
        <w:t xml:space="preserve">Gli esiti dell’incombente istruttorio possono così essere sintetizzati: </w:t>
      </w:r>
      <w:r w:rsidRPr="001839E3">
        <w:rPr>
          <w:rFonts w:ascii="Times New Roman" w:eastAsia="Times New Roman" w:hAnsi="Times New Roman" w:cs="Times New Roman"/>
          <w:color w:val="3D3B39"/>
          <w:lang w:eastAsia="it-IT"/>
        </w:rPr>
        <w:br/>
        <w:t xml:space="preserve">- oltre all’aggiunta della relazione sulla verifica del dimensionamento della nuova pavimentazione e della relazione idrogeologica e idraulica, le modifiche più rilevanti riguardano i limiti spaziali dell’intervento, le dimensioni delle lastre di pietra </w:t>
      </w:r>
      <w:proofErr w:type="spellStart"/>
      <w:r w:rsidRPr="001839E3">
        <w:rPr>
          <w:rFonts w:ascii="Times New Roman" w:eastAsia="Times New Roman" w:hAnsi="Times New Roman" w:cs="Times New Roman"/>
          <w:color w:val="3D3B39"/>
          <w:lang w:eastAsia="it-IT"/>
        </w:rPr>
        <w:t>piasentina</w:t>
      </w:r>
      <w:proofErr w:type="spellEnd"/>
      <w:r w:rsidRPr="001839E3">
        <w:rPr>
          <w:rFonts w:ascii="Times New Roman" w:eastAsia="Times New Roman" w:hAnsi="Times New Roman" w:cs="Times New Roman"/>
          <w:color w:val="3D3B39"/>
          <w:lang w:eastAsia="it-IT"/>
        </w:rPr>
        <w:t xml:space="preserve"> (passata da 80 a 60 cm. di lunghezza massima), e la realizzazione di nuove condutture fognarie; </w:t>
      </w:r>
      <w:r w:rsidRPr="001839E3">
        <w:rPr>
          <w:rFonts w:ascii="Times New Roman" w:eastAsia="Times New Roman" w:hAnsi="Times New Roman" w:cs="Times New Roman"/>
          <w:color w:val="3D3B39"/>
          <w:lang w:eastAsia="it-IT"/>
        </w:rPr>
        <w:br/>
        <w:t xml:space="preserve">- nel passaggio dal primo al secondo progetto le sezioni trasversali e il profilo longitudinale della strada non sono stati modificati. </w:t>
      </w:r>
      <w:r w:rsidRPr="001839E3">
        <w:rPr>
          <w:rFonts w:ascii="Times New Roman" w:eastAsia="Times New Roman" w:hAnsi="Times New Roman" w:cs="Times New Roman"/>
          <w:color w:val="3D3B39"/>
          <w:lang w:eastAsia="it-IT"/>
        </w:rPr>
        <w:br/>
        <w:t xml:space="preserve">5.2. Orbene, alla luce degli esiti della verificazione, risultano infondati il primo e il terzo motivo di impugnazione dedotti nel secondo ricorso per motivi aggiunti. </w:t>
      </w:r>
      <w:r w:rsidRPr="001839E3">
        <w:rPr>
          <w:rFonts w:ascii="Times New Roman" w:eastAsia="Times New Roman" w:hAnsi="Times New Roman" w:cs="Times New Roman"/>
          <w:color w:val="3D3B39"/>
          <w:lang w:eastAsia="it-IT"/>
        </w:rPr>
        <w:br/>
        <w:t xml:space="preserve">In effetti si è trattato di un aggiornamento del progetto esecutivo già approvato. Non essendo state introdotte soluzioni progettuali diverse, non era necessario far regredire il procedimento alla fase anteriore all’approvazione del progetto stesso. </w:t>
      </w:r>
      <w:r w:rsidRPr="001839E3">
        <w:rPr>
          <w:rFonts w:ascii="Times New Roman" w:eastAsia="Times New Roman" w:hAnsi="Times New Roman" w:cs="Times New Roman"/>
          <w:color w:val="3D3B39"/>
          <w:lang w:eastAsia="it-IT"/>
        </w:rPr>
        <w:br/>
        <w:t xml:space="preserve">Peraltro, nelle more dell’espletamento della verificazione, il Comune ha trasmesso il progetto aggiornato alla Soprintendenza, che ha rinnovato il proprio assenso. Sicché, anche se non necessario, è intervenuto il nuovo parere favorevole dell’Organo preposto alla tutela dei beni d’interesse culturale. </w:t>
      </w:r>
      <w:r w:rsidRPr="001839E3">
        <w:rPr>
          <w:rFonts w:ascii="Times New Roman" w:eastAsia="Times New Roman" w:hAnsi="Times New Roman" w:cs="Times New Roman"/>
          <w:color w:val="3D3B39"/>
          <w:lang w:eastAsia="it-IT"/>
        </w:rPr>
        <w:br/>
        <w:t xml:space="preserve">Nemmeno risulta integrato il lamentato sviamento di potere. A tutto voler concedere, infatti, l’esercizio dei poteri di autotutela di cui l’Amministrazione è titolare, al fine di rimuovere eventuali vizi di legittimità e/o opportunità di proprie precedenti scelte, è coerente con i principi cui, ai sensi dall’articolo 97 </w:t>
      </w:r>
      <w:proofErr w:type="spellStart"/>
      <w:r w:rsidRPr="001839E3">
        <w:rPr>
          <w:rFonts w:ascii="Times New Roman" w:eastAsia="Times New Roman" w:hAnsi="Times New Roman" w:cs="Times New Roman"/>
          <w:color w:val="3D3B39"/>
          <w:lang w:eastAsia="it-IT"/>
        </w:rPr>
        <w:t>Cost</w:t>
      </w:r>
      <w:proofErr w:type="spellEnd"/>
      <w:r w:rsidRPr="001839E3">
        <w:rPr>
          <w:rFonts w:ascii="Times New Roman" w:eastAsia="Times New Roman" w:hAnsi="Times New Roman" w:cs="Times New Roman"/>
          <w:color w:val="3D3B39"/>
          <w:lang w:eastAsia="it-IT"/>
        </w:rPr>
        <w:t xml:space="preserve">., deve conformarsi l’azione dei pubblici poteri (cfr., T.A.R. Sicilia – Catania, Sez. I^, sentenza n. 515/2018). </w:t>
      </w:r>
      <w:r w:rsidRPr="001839E3">
        <w:rPr>
          <w:rFonts w:ascii="Times New Roman" w:eastAsia="Times New Roman" w:hAnsi="Times New Roman" w:cs="Times New Roman"/>
          <w:color w:val="3D3B39"/>
          <w:lang w:eastAsia="it-IT"/>
        </w:rPr>
        <w:br/>
        <w:t xml:space="preserve">6.1. Sono parimenti infondati il quarto, il quinto e il sesto motivo di impugnazione dedotti nel secondo ricorso per motivi aggiunti. </w:t>
      </w:r>
      <w:r w:rsidRPr="001839E3">
        <w:rPr>
          <w:rFonts w:ascii="Times New Roman" w:eastAsia="Times New Roman" w:hAnsi="Times New Roman" w:cs="Times New Roman"/>
          <w:color w:val="3D3B39"/>
          <w:lang w:eastAsia="it-IT"/>
        </w:rPr>
        <w:br/>
        <w:t xml:space="preserve">6.2. Invero, la nomina del Dirigente di Settore a capo del gruppo di progettazione non determina affatto un situazione di conflitto di interessi, perché i dirigenti sono esclusi dalla percezione dei compensi di progettazione, giusta quanto dispone l’articolo 11 L.R. F.V.G. n. 14/2002, in applicazione del principio di onnicomprensività della retribuzione dei dirigenti stessi (cfr., </w:t>
      </w:r>
      <w:proofErr w:type="spellStart"/>
      <w:r w:rsidRPr="001839E3">
        <w:rPr>
          <w:rFonts w:ascii="Times New Roman" w:eastAsia="Times New Roman" w:hAnsi="Times New Roman" w:cs="Times New Roman"/>
          <w:color w:val="3D3B39"/>
          <w:lang w:eastAsia="it-IT"/>
        </w:rPr>
        <w:t>Cass</w:t>
      </w:r>
      <w:proofErr w:type="spellEnd"/>
      <w:r w:rsidRPr="001839E3">
        <w:rPr>
          <w:rFonts w:ascii="Times New Roman" w:eastAsia="Times New Roman" w:hAnsi="Times New Roman" w:cs="Times New Roman"/>
          <w:color w:val="3D3B39"/>
          <w:lang w:eastAsia="it-IT"/>
        </w:rPr>
        <w:t xml:space="preserve">., Sez. IV^, sentenza n. 3094/2018). </w:t>
      </w:r>
      <w:r w:rsidRPr="001839E3">
        <w:rPr>
          <w:rFonts w:ascii="Times New Roman" w:eastAsia="Times New Roman" w:hAnsi="Times New Roman" w:cs="Times New Roman"/>
          <w:color w:val="3D3B39"/>
          <w:lang w:eastAsia="it-IT"/>
        </w:rPr>
        <w:br/>
        <w:t xml:space="preserve">6.3. Ancora, l’intervento di cui si discute non rientra tra quelli per cui è vietata la commistione di ruoli tra RUP e progettista. </w:t>
      </w:r>
      <w:r w:rsidRPr="001839E3">
        <w:rPr>
          <w:rFonts w:ascii="Times New Roman" w:eastAsia="Times New Roman" w:hAnsi="Times New Roman" w:cs="Times New Roman"/>
          <w:color w:val="3D3B39"/>
          <w:lang w:eastAsia="it-IT"/>
        </w:rPr>
        <w:br/>
        <w:t xml:space="preserve">Vero è, infatti, che le linee guida, adottate dall’ANAC (in esecuzione di quanto dispone l’articolo 31, comma 5, </w:t>
      </w:r>
      <w:proofErr w:type="spellStart"/>
      <w:r w:rsidRPr="001839E3">
        <w:rPr>
          <w:rFonts w:ascii="Times New Roman" w:eastAsia="Times New Roman" w:hAnsi="Times New Roman" w:cs="Times New Roman"/>
          <w:color w:val="3D3B39"/>
          <w:lang w:eastAsia="it-IT"/>
        </w:rPr>
        <w:t>D.Lgs.</w:t>
      </w:r>
      <w:proofErr w:type="spellEnd"/>
      <w:r w:rsidRPr="001839E3">
        <w:rPr>
          <w:rFonts w:ascii="Times New Roman" w:eastAsia="Times New Roman" w:hAnsi="Times New Roman" w:cs="Times New Roman"/>
          <w:color w:val="3D3B39"/>
          <w:lang w:eastAsia="it-IT"/>
        </w:rPr>
        <w:t xml:space="preserve"> n. 50/2016) con deliberazione n. 1096/2016, escludono che possano essere riassunte in un’unica persone la funzioni di RUP, direttore lavori e progettista nel caso di «lavori di speciale complessità o di particolare rilevanza sotto il profilo architettonico, ambientale, storico-artistico e conservativo, oltre che tecnologico, nonché nel caso di progetti integrali ovvero di interventi di importo superiore a 1.500.000 di euro». </w:t>
      </w:r>
      <w:r w:rsidRPr="001839E3">
        <w:rPr>
          <w:rFonts w:ascii="Times New Roman" w:eastAsia="Times New Roman" w:hAnsi="Times New Roman" w:cs="Times New Roman"/>
          <w:color w:val="3D3B39"/>
          <w:lang w:eastAsia="it-IT"/>
        </w:rPr>
        <w:br/>
        <w:t xml:space="preserve">Tuttavia, il rifacimento della pavimentazione di una strada (in sostanza la sostituzione delle vecchie lastre con lastre nuove), ancorché si tratti di una strada vincolata, non è qualificabile quale lavoro di speciale complessità o di particolare rilevanza, sicché non opera il </w:t>
      </w:r>
      <w:proofErr w:type="spellStart"/>
      <w:r w:rsidRPr="001839E3">
        <w:rPr>
          <w:rFonts w:ascii="Times New Roman" w:eastAsia="Times New Roman" w:hAnsi="Times New Roman" w:cs="Times New Roman"/>
          <w:color w:val="3D3B39"/>
          <w:lang w:eastAsia="it-IT"/>
        </w:rPr>
        <w:t>surrichiamato</w:t>
      </w:r>
      <w:proofErr w:type="spellEnd"/>
      <w:r w:rsidRPr="001839E3">
        <w:rPr>
          <w:rFonts w:ascii="Times New Roman" w:eastAsia="Times New Roman" w:hAnsi="Times New Roman" w:cs="Times New Roman"/>
          <w:color w:val="3D3B39"/>
          <w:lang w:eastAsia="it-IT"/>
        </w:rPr>
        <w:t xml:space="preserve"> divieto. Con la conseguenza che l’arch. Barbara Gentilini poteva legittimamente assommare le funzioni di progettista con quelle di RUP. </w:t>
      </w:r>
      <w:r w:rsidRPr="001839E3">
        <w:rPr>
          <w:rFonts w:ascii="Times New Roman" w:eastAsia="Times New Roman" w:hAnsi="Times New Roman" w:cs="Times New Roman"/>
          <w:color w:val="3D3B39"/>
          <w:lang w:eastAsia="it-IT"/>
        </w:rPr>
        <w:br/>
        <w:t xml:space="preserve">6.4. Infine, risulta che, giusta quanto dispone l’articolo 31, comma 1, </w:t>
      </w:r>
      <w:proofErr w:type="spellStart"/>
      <w:r w:rsidRPr="001839E3">
        <w:rPr>
          <w:rFonts w:ascii="Times New Roman" w:eastAsia="Times New Roman" w:hAnsi="Times New Roman" w:cs="Times New Roman"/>
          <w:color w:val="3D3B39"/>
          <w:lang w:eastAsia="it-IT"/>
        </w:rPr>
        <w:t>D.Lgs.</w:t>
      </w:r>
      <w:proofErr w:type="spellEnd"/>
      <w:r w:rsidRPr="001839E3">
        <w:rPr>
          <w:rFonts w:ascii="Times New Roman" w:eastAsia="Times New Roman" w:hAnsi="Times New Roman" w:cs="Times New Roman"/>
          <w:color w:val="3D3B39"/>
          <w:lang w:eastAsia="it-IT"/>
        </w:rPr>
        <w:t xml:space="preserve"> n. 50/2016, l’arch. Barbara Gentilini è stata nominata RUP dell’intervento di cui si discute con l’approvazione del Piano esecutivo di gestione del Settore mobilità del Comune per il triennio 2016-2018: piano che contempla anche il rifacimento della pavimentazione di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(doc. 13 del fascicolo del Comune). Sicché, risulta superato il dubbio. </w:t>
      </w:r>
      <w:r w:rsidRPr="001839E3">
        <w:rPr>
          <w:rFonts w:ascii="Times New Roman" w:eastAsia="Times New Roman" w:hAnsi="Times New Roman" w:cs="Times New Roman"/>
          <w:color w:val="3D3B39"/>
          <w:lang w:eastAsia="it-IT"/>
        </w:rPr>
        <w:br/>
        <w:t xml:space="preserve">7.1. Parimenti infondate sono le censure dedotte con il terzo e con il quarto ricorso per motivi aggiunti, che vengono trattati congiuntamente in quanto sostanzialmente coincidenti. </w:t>
      </w:r>
      <w:r w:rsidRPr="001839E3">
        <w:rPr>
          <w:rFonts w:ascii="Times New Roman" w:eastAsia="Times New Roman" w:hAnsi="Times New Roman" w:cs="Times New Roman"/>
          <w:color w:val="3D3B39"/>
          <w:lang w:eastAsia="it-IT"/>
        </w:rPr>
        <w:br/>
        <w:t xml:space="preserve">7.2. Come già osservato, la prima verificazione e il successivo supplemento hanno dimostrato che le differenze tra il primo e il secondo progetto esecutivo sono di minima e non hanno riguardato la pendenza della strada che è rimasta immutata. </w:t>
      </w:r>
      <w:r w:rsidRPr="001839E3">
        <w:rPr>
          <w:rFonts w:ascii="Times New Roman" w:eastAsia="Times New Roman" w:hAnsi="Times New Roman" w:cs="Times New Roman"/>
          <w:color w:val="3D3B39"/>
          <w:lang w:eastAsia="it-IT"/>
        </w:rPr>
        <w:br/>
        <w:t xml:space="preserve">Ne consegue che non era nemmeno necessario un </w:t>
      </w:r>
      <w:proofErr w:type="spellStart"/>
      <w:r w:rsidRPr="001839E3">
        <w:rPr>
          <w:rFonts w:ascii="Times New Roman" w:eastAsia="Times New Roman" w:hAnsi="Times New Roman" w:cs="Times New Roman"/>
          <w:color w:val="3D3B39"/>
          <w:lang w:eastAsia="it-IT"/>
        </w:rPr>
        <w:t>ripronunciamento</w:t>
      </w:r>
      <w:proofErr w:type="spellEnd"/>
      <w:r w:rsidRPr="001839E3">
        <w:rPr>
          <w:rFonts w:ascii="Times New Roman" w:eastAsia="Times New Roman" w:hAnsi="Times New Roman" w:cs="Times New Roman"/>
          <w:color w:val="3D3B39"/>
          <w:lang w:eastAsia="it-IT"/>
        </w:rPr>
        <w:t xml:space="preserve"> della Soprintendenza. Nondimeno questo </w:t>
      </w:r>
      <w:proofErr w:type="spellStart"/>
      <w:r w:rsidRPr="001839E3">
        <w:rPr>
          <w:rFonts w:ascii="Times New Roman" w:eastAsia="Times New Roman" w:hAnsi="Times New Roman" w:cs="Times New Roman"/>
          <w:color w:val="3D3B39"/>
          <w:lang w:eastAsia="it-IT"/>
        </w:rPr>
        <w:t>ripronunciamento</w:t>
      </w:r>
      <w:proofErr w:type="spellEnd"/>
      <w:r w:rsidRPr="001839E3">
        <w:rPr>
          <w:rFonts w:ascii="Times New Roman" w:eastAsia="Times New Roman" w:hAnsi="Times New Roman" w:cs="Times New Roman"/>
          <w:color w:val="3D3B39"/>
          <w:lang w:eastAsia="it-IT"/>
        </w:rPr>
        <w:t xml:space="preserve"> vi è stato, e lo stesso risulta immune dai vizi prospettati dagli odierni ricorrenti. </w:t>
      </w:r>
      <w:r w:rsidRPr="001839E3">
        <w:rPr>
          <w:rFonts w:ascii="Times New Roman" w:eastAsia="Times New Roman" w:hAnsi="Times New Roman" w:cs="Times New Roman"/>
          <w:color w:val="3D3B39"/>
          <w:lang w:eastAsia="it-IT"/>
        </w:rPr>
        <w:br/>
        <w:t xml:space="preserve">Infatti, come </w:t>
      </w:r>
      <w:proofErr w:type="spellStart"/>
      <w:r w:rsidRPr="001839E3">
        <w:rPr>
          <w:rFonts w:ascii="Times New Roman" w:eastAsia="Times New Roman" w:hAnsi="Times New Roman" w:cs="Times New Roman"/>
          <w:color w:val="3D3B39"/>
          <w:lang w:eastAsia="it-IT"/>
        </w:rPr>
        <w:t>condivisibilmente</w:t>
      </w:r>
      <w:proofErr w:type="spellEnd"/>
      <w:r w:rsidRPr="001839E3">
        <w:rPr>
          <w:rFonts w:ascii="Times New Roman" w:eastAsia="Times New Roman" w:hAnsi="Times New Roman" w:cs="Times New Roman"/>
          <w:color w:val="3D3B39"/>
          <w:lang w:eastAsia="it-IT"/>
        </w:rPr>
        <w:t xml:space="preserve"> osservato dalla difesa erariale, compito della Soprintendenza non è quello di accertare le differenze tra i progetti, ma se il nuovo progetto è compatibile con la tutela del bene vincolato: cosa che nel caso di specie è stata fatta, come emerge dalla documentazione in atti. Il che esclude che nell’esprimere la propria valutazione la Soprintendenza sia incorsa in quel travisamento del dato fattuale che consente il sindacato del Giudice amministrazione sugli atti della Amministrazione di esercizio della discrezionalità tecnico-amministrativa.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t xml:space="preserve">Peraltro, come evidenziato dalla difesa del Comune, le prescrizioni date dalla Soprintendenza nella conferenza dei servizi del 20.07.2012 hanno riguardato il materiale da usare nella pavimentazione, la dimensione delle lastre, il trattamento e il montaggio delle stesse, oltre che i marciapiedi e le canalette di scolo. L’organo ministeriale non ha in alcun modo preso posizione sulla pendenza della strada, sicché la mancata conservazione della baulatura a schiena d’asino non viola alcuna prescrizione posta a tutela del bene vincolato. </w:t>
      </w:r>
      <w:r w:rsidRPr="001839E3">
        <w:rPr>
          <w:rFonts w:ascii="Times New Roman" w:eastAsia="Times New Roman" w:hAnsi="Times New Roman" w:cs="Times New Roman"/>
          <w:color w:val="3D3B39"/>
          <w:lang w:eastAsia="it-IT"/>
        </w:rPr>
        <w:br/>
        <w:t xml:space="preserve">8.1. Resta da esaminare il secondo motivo di impugnazione dedotto con il secondo ricorso per motivi aggiunti, in ragione del quale– come parimenti ricordato in narrativa - il Tribunale ha disposto una ulteriore verificazione: </w:t>
      </w:r>
      <w:r w:rsidRPr="001839E3">
        <w:rPr>
          <w:rFonts w:ascii="Times New Roman" w:eastAsia="Times New Roman" w:hAnsi="Times New Roman" w:cs="Times New Roman"/>
          <w:color w:val="3D3B39"/>
          <w:lang w:eastAsia="it-IT"/>
        </w:rPr>
        <w:br/>
        <w:t>8.2. Precisamente, questo Giudice ha ordinato al Direttore dell’</w:t>
      </w:r>
      <w:proofErr w:type="spellStart"/>
      <w:r w:rsidRPr="001839E3">
        <w:rPr>
          <w:rFonts w:ascii="Times New Roman" w:eastAsia="Times New Roman" w:hAnsi="Times New Roman" w:cs="Times New Roman"/>
          <w:color w:val="3D3B39"/>
          <w:lang w:eastAsia="it-IT"/>
        </w:rPr>
        <w:t>Osmer</w:t>
      </w:r>
      <w:proofErr w:type="spellEnd"/>
      <w:r w:rsidRPr="001839E3">
        <w:rPr>
          <w:rFonts w:ascii="Times New Roman" w:eastAsia="Times New Roman" w:hAnsi="Times New Roman" w:cs="Times New Roman"/>
          <w:color w:val="3D3B39"/>
          <w:lang w:eastAsia="it-IT"/>
        </w:rPr>
        <w:t xml:space="preserve"> presso l’ARPA del Friuli Venezia Giulia di rispondere al seguente quesito: «se alla data del 1° gennaio 2017 esistevano ed erano disponibili rilevazioni ufficiali sulle precipitazioni nel Comune di Udine successive al 31.12.2011» e, in caso positivo, «se tali rilevazioni riguardavano anche il pluviometro posto sul Castello di Udine». </w:t>
      </w:r>
      <w:r w:rsidRPr="001839E3">
        <w:rPr>
          <w:rFonts w:ascii="Times New Roman" w:eastAsia="Times New Roman" w:hAnsi="Times New Roman" w:cs="Times New Roman"/>
          <w:color w:val="3D3B39"/>
          <w:lang w:eastAsia="it-IT"/>
        </w:rPr>
        <w:br/>
        <w:t>Il verificatore ha chiarito che l’impianto di rilevamento di Udine Castello è gestito dalla Protezione civile della Regione perché trasmette i dati in tempo reale; che i dati di piovosità registrati da quel pluviometro sono validati per il periodo 1915-2011; che sono disponibili tuttavia dati più recenti, aggiornati in tempo reale, perfettamente consultabili da parte degli Enti pubblici mediante l’accesso alla banca dati Omnia gestita dall’</w:t>
      </w:r>
      <w:proofErr w:type="spellStart"/>
      <w:r w:rsidRPr="001839E3">
        <w:rPr>
          <w:rFonts w:ascii="Times New Roman" w:eastAsia="Times New Roman" w:hAnsi="Times New Roman" w:cs="Times New Roman"/>
          <w:color w:val="3D3B39"/>
          <w:lang w:eastAsia="it-IT"/>
        </w:rPr>
        <w:t>Osmer</w:t>
      </w:r>
      <w:proofErr w:type="spellEnd"/>
      <w:r w:rsidRPr="001839E3">
        <w:rPr>
          <w:rFonts w:ascii="Times New Roman" w:eastAsia="Times New Roman" w:hAnsi="Times New Roman" w:cs="Times New Roman"/>
          <w:color w:val="3D3B39"/>
          <w:lang w:eastAsia="it-IT"/>
        </w:rPr>
        <w:t xml:space="preserve">, e che tali dati – a richiesta – sono validati dall’Ufficio Idrografico. </w:t>
      </w:r>
      <w:r w:rsidRPr="001839E3">
        <w:rPr>
          <w:rFonts w:ascii="Times New Roman" w:eastAsia="Times New Roman" w:hAnsi="Times New Roman" w:cs="Times New Roman"/>
          <w:color w:val="3D3B39"/>
          <w:lang w:eastAsia="it-IT"/>
        </w:rPr>
        <w:br/>
        <w:t xml:space="preserve">8.3. Ebbene, alla luce degli esiti della verificazione, risulta fondata la censura di difetto di istruttoria dedotta dai ricorrenti. </w:t>
      </w:r>
      <w:r w:rsidRPr="001839E3">
        <w:rPr>
          <w:rFonts w:ascii="Times New Roman" w:eastAsia="Times New Roman" w:hAnsi="Times New Roman" w:cs="Times New Roman"/>
          <w:color w:val="3D3B39"/>
          <w:lang w:eastAsia="it-IT"/>
        </w:rPr>
        <w:br/>
        <w:t xml:space="preserve">La relazione idrologica e idraulica, che certifica la tenuta del sistema di captazione e smaltimento delle acque meteoriche progettato dal Comune per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utilizza dati sulla piovosità nella zona fermi a sei anni prima, quando ve ne erano a disposizione di più recenti, che - all’esito del processo di validazione, attivabile (senza alcuna difficoltà) dal Comune stesso – avrebbero avuto pari valore scientifico. Non eccedeva certo il limite della ordinaria diligenza procurarsi dati aggiornati sulla piovosità, peraltro facilmente accessibili. </w:t>
      </w:r>
      <w:r w:rsidRPr="001839E3">
        <w:rPr>
          <w:rFonts w:ascii="Times New Roman" w:eastAsia="Times New Roman" w:hAnsi="Times New Roman" w:cs="Times New Roman"/>
          <w:color w:val="3D3B39"/>
          <w:lang w:eastAsia="it-IT"/>
        </w:rPr>
        <w:br/>
        <w:t xml:space="preserve">Né possono sanare il vizio le considerazioni del consulente del Comune, contenute nella memoria depositata in data 5 febbraio 2018, non fosse altro perché le stesse integrano una inammissibile integrazione postuma della motivazione da parte di un atto processuale (cfr., </w:t>
      </w:r>
      <w:proofErr w:type="spellStart"/>
      <w:r w:rsidRPr="001839E3">
        <w:rPr>
          <w:rFonts w:ascii="Times New Roman" w:eastAsia="Times New Roman" w:hAnsi="Times New Roman" w:cs="Times New Roman"/>
          <w:color w:val="3D3B39"/>
          <w:lang w:eastAsia="it-IT"/>
        </w:rPr>
        <w:t>C.d.S</w:t>
      </w:r>
      <w:proofErr w:type="spellEnd"/>
      <w:r w:rsidRPr="001839E3">
        <w:rPr>
          <w:rFonts w:ascii="Times New Roman" w:eastAsia="Times New Roman" w:hAnsi="Times New Roman" w:cs="Times New Roman"/>
          <w:color w:val="3D3B39"/>
          <w:lang w:eastAsia="it-IT"/>
        </w:rPr>
        <w:t xml:space="preserve">., Sez. VI^, sentenza n. 4253/2017). In ogni caso, quelle considerazioni muovono da un assunto fattuale (l’indisponibilità dei dati) smentito dal verificatore, e oltretutto avrebbero dovuto precedere e non seguire l’approvazione del progetto medesimo. </w:t>
      </w:r>
      <w:r w:rsidRPr="001839E3">
        <w:rPr>
          <w:rFonts w:ascii="Times New Roman" w:eastAsia="Times New Roman" w:hAnsi="Times New Roman" w:cs="Times New Roman"/>
          <w:color w:val="3D3B39"/>
          <w:lang w:eastAsia="it-IT"/>
        </w:rPr>
        <w:br/>
        <w:t xml:space="preserve">Al contempo, va considerato che nell’ambito del progetto per cui è causa, la relazione idrologica e idraulica assume una valenza fondamentale, come dimostra il fatto che essa è stata espressamente pretesa ai fini della validazione del progetto medesimo. Sicché, il difetto di istruttoria su di un elemento essenziale del progetto non può che comportare l’illegittimità della deliberazione di approvazione del progetto medesimo. </w:t>
      </w:r>
      <w:r w:rsidRPr="001839E3">
        <w:rPr>
          <w:rFonts w:ascii="Times New Roman" w:eastAsia="Times New Roman" w:hAnsi="Times New Roman" w:cs="Times New Roman"/>
          <w:color w:val="3D3B39"/>
          <w:lang w:eastAsia="it-IT"/>
        </w:rPr>
        <w:br/>
        <w:t xml:space="preserve">9.1. In conclusione, il ricorso principale e il primo ricorso per motivi aggiunti sono improcedibili per sopravvenuta carenza di interesse. Il quinto ricorso per motivi aggiunti è inammissibile perché censura un atto non </w:t>
      </w:r>
      <w:proofErr w:type="spellStart"/>
      <w:r w:rsidRPr="001839E3">
        <w:rPr>
          <w:rFonts w:ascii="Times New Roman" w:eastAsia="Times New Roman" w:hAnsi="Times New Roman" w:cs="Times New Roman"/>
          <w:color w:val="3D3B39"/>
          <w:lang w:eastAsia="it-IT"/>
        </w:rPr>
        <w:t>provvedimentale</w:t>
      </w:r>
      <w:proofErr w:type="spellEnd"/>
      <w:r w:rsidRPr="001839E3">
        <w:rPr>
          <w:rFonts w:ascii="Times New Roman" w:eastAsia="Times New Roman" w:hAnsi="Times New Roman" w:cs="Times New Roman"/>
          <w:color w:val="3D3B39"/>
          <w:lang w:eastAsia="it-IT"/>
        </w:rPr>
        <w:t xml:space="preserve">, bensì un atto difensivo. </w:t>
      </w:r>
      <w:r w:rsidRPr="001839E3">
        <w:rPr>
          <w:rFonts w:ascii="Times New Roman" w:eastAsia="Times New Roman" w:hAnsi="Times New Roman" w:cs="Times New Roman"/>
          <w:color w:val="3D3B39"/>
          <w:lang w:eastAsia="it-IT"/>
        </w:rPr>
        <w:br/>
        <w:t xml:space="preserve">Il secondo, il terzo e il quarto ricorso per motivi aggiunti sono fondati nella parte in cui stigmatizzano il difetto di istruttoria in punto di tenuta idraulica dell’intervento di risanamento conservativo di Via </w:t>
      </w:r>
      <w:proofErr w:type="spellStart"/>
      <w:r w:rsidRPr="001839E3">
        <w:rPr>
          <w:rFonts w:ascii="Times New Roman" w:eastAsia="Times New Roman" w:hAnsi="Times New Roman" w:cs="Times New Roman"/>
          <w:color w:val="3D3B39"/>
          <w:lang w:eastAsia="it-IT"/>
        </w:rPr>
        <w:t>Mercatovecchio</w:t>
      </w:r>
      <w:proofErr w:type="spellEnd"/>
      <w:r w:rsidRPr="001839E3">
        <w:rPr>
          <w:rFonts w:ascii="Times New Roman" w:eastAsia="Times New Roman" w:hAnsi="Times New Roman" w:cs="Times New Roman"/>
          <w:color w:val="3D3B39"/>
          <w:lang w:eastAsia="it-IT"/>
        </w:rPr>
        <w:t xml:space="preserve">, e pertanto sono accolti: per l’effetto sono annullati gli atti ivi impugnati. </w:t>
      </w:r>
      <w:r w:rsidRPr="001839E3">
        <w:rPr>
          <w:rFonts w:ascii="Times New Roman" w:eastAsia="Times New Roman" w:hAnsi="Times New Roman" w:cs="Times New Roman"/>
          <w:color w:val="3D3B39"/>
          <w:lang w:eastAsia="it-IT"/>
        </w:rPr>
        <w:br/>
        <w:t xml:space="preserve">9.2. Spetta al Comune, se del caso, riattivare il procedimento a partire dalla fase in cui si situa il </w:t>
      </w:r>
      <w:proofErr w:type="spellStart"/>
      <w:r w:rsidRPr="001839E3">
        <w:rPr>
          <w:rFonts w:ascii="Times New Roman" w:eastAsia="Times New Roman" w:hAnsi="Times New Roman" w:cs="Times New Roman"/>
          <w:color w:val="3D3B39"/>
          <w:lang w:eastAsia="it-IT"/>
        </w:rPr>
        <w:t>suvvisto</w:t>
      </w:r>
      <w:proofErr w:type="spellEnd"/>
      <w:r w:rsidRPr="001839E3">
        <w:rPr>
          <w:rFonts w:ascii="Times New Roman" w:eastAsia="Times New Roman" w:hAnsi="Times New Roman" w:cs="Times New Roman"/>
          <w:color w:val="3D3B39"/>
          <w:lang w:eastAsia="it-IT"/>
        </w:rPr>
        <w:t xml:space="preserve"> vizio, per emendare il provvedimento finale dal vizio medesimo. </w:t>
      </w:r>
      <w:r w:rsidRPr="001839E3">
        <w:rPr>
          <w:rFonts w:ascii="Times New Roman" w:eastAsia="Times New Roman" w:hAnsi="Times New Roman" w:cs="Times New Roman"/>
          <w:color w:val="3D3B39"/>
          <w:lang w:eastAsia="it-IT"/>
        </w:rPr>
        <w:br/>
        <w:t xml:space="preserve">9.3. Le spese di giudizio sono compensate tra le parti in ragione della reciproca soccombenza. </w:t>
      </w:r>
      <w:r w:rsidRPr="001839E3">
        <w:rPr>
          <w:rFonts w:ascii="Times New Roman" w:eastAsia="Times New Roman" w:hAnsi="Times New Roman" w:cs="Times New Roman"/>
          <w:color w:val="3D3B39"/>
          <w:lang w:eastAsia="it-IT"/>
        </w:rPr>
        <w:br/>
        <w:t xml:space="preserve">In applicazione del principio della soccombenza (riferita alla relativa questione dedotta in giudizio), sono poste a carico dei ricorrenti le spese della prima verificazione e della successiva integrazione, liquidate, in applicazione dell’articolo 12 D.M. Giustizia 30.05.2002, e tenuto conto della difficoltà dell’incarico, in Euro 1.800,00, oltre ad accessori di legge.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P.Q.M.</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Il Tribunale Amministrativo Regionale per il Friuli Venezia Giulia - Sezione Prima, definitivamente pronunciando sul ricorso principale e sui cinque ricorsi per motivi aggiunti, come in epigrafe proposti: </w:t>
      </w:r>
      <w:r w:rsidRPr="001839E3">
        <w:rPr>
          <w:rFonts w:ascii="Times New Roman" w:eastAsia="Times New Roman" w:hAnsi="Times New Roman" w:cs="Times New Roman"/>
          <w:color w:val="3D3B39"/>
          <w:lang w:eastAsia="it-IT"/>
        </w:rPr>
        <w:br/>
        <w:t xml:space="preserve">a) dichiara improcedibili il ricorso principale e il primo ricorso per motivi aggiunti; </w:t>
      </w:r>
      <w:r w:rsidRPr="001839E3">
        <w:rPr>
          <w:rFonts w:ascii="Times New Roman" w:eastAsia="Times New Roman" w:hAnsi="Times New Roman" w:cs="Times New Roman"/>
          <w:color w:val="3D3B39"/>
          <w:lang w:eastAsia="it-IT"/>
        </w:rPr>
        <w:br/>
        <w:t xml:space="preserve">b) dichiara inammissibile il quinto ricorso per motivi aggiunti; </w:t>
      </w:r>
      <w:r w:rsidRPr="001839E3">
        <w:rPr>
          <w:rFonts w:ascii="Times New Roman" w:eastAsia="Times New Roman" w:hAnsi="Times New Roman" w:cs="Times New Roman"/>
          <w:color w:val="3D3B39"/>
          <w:lang w:eastAsia="it-IT"/>
        </w:rPr>
        <w:br/>
        <w:t xml:space="preserve">c) accoglie nei termini e nei limiti di cui in motivazione il secondo, il terzo e il quarto ricorso per motivi </w:t>
      </w:r>
      <w:r w:rsidRPr="001839E3">
        <w:rPr>
          <w:rFonts w:ascii="Times New Roman" w:eastAsia="Times New Roman" w:hAnsi="Times New Roman" w:cs="Times New Roman"/>
          <w:color w:val="3D3B39"/>
          <w:lang w:eastAsia="it-IT"/>
        </w:rPr>
        <w:lastRenderedPageBreak/>
        <w:t xml:space="preserve">aggiunti, e per l’effetto annulla gli atti impugnati con tali ricorsi. </w:t>
      </w:r>
      <w:r w:rsidRPr="001839E3">
        <w:rPr>
          <w:rFonts w:ascii="Times New Roman" w:eastAsia="Times New Roman" w:hAnsi="Times New Roman" w:cs="Times New Roman"/>
          <w:color w:val="3D3B39"/>
          <w:lang w:eastAsia="it-IT"/>
        </w:rPr>
        <w:br/>
        <w:t xml:space="preserve">Compensa tra le parti le spese di giudizio. </w:t>
      </w:r>
      <w:r w:rsidRPr="001839E3">
        <w:rPr>
          <w:rFonts w:ascii="Times New Roman" w:eastAsia="Times New Roman" w:hAnsi="Times New Roman" w:cs="Times New Roman"/>
          <w:color w:val="3D3B39"/>
          <w:lang w:eastAsia="it-IT"/>
        </w:rPr>
        <w:br/>
        <w:t xml:space="preserve">Condanna i ricorrenti a pagare alla prof.ssa Ilaria Garofolo le spese della prima verificazione e del successivo supplemento nella misura parimenti indicata in motivazione. </w:t>
      </w:r>
      <w:r w:rsidRPr="001839E3">
        <w:rPr>
          <w:rFonts w:ascii="Times New Roman" w:eastAsia="Times New Roman" w:hAnsi="Times New Roman" w:cs="Times New Roman"/>
          <w:color w:val="3D3B39"/>
          <w:lang w:eastAsia="it-IT"/>
        </w:rPr>
        <w:br/>
        <w:t xml:space="preserve">Ordina che la presente sentenza sia eseguita dall’Autorità amministrativa. </w:t>
      </w:r>
      <w:r w:rsidRPr="001839E3">
        <w:rPr>
          <w:rFonts w:ascii="Times New Roman" w:eastAsia="Times New Roman" w:hAnsi="Times New Roman" w:cs="Times New Roman"/>
          <w:color w:val="3D3B39"/>
          <w:lang w:eastAsia="it-IT"/>
        </w:rPr>
        <w:br/>
        <w:t xml:space="preserve">Così deciso in Trieste nella camera di consiglio del giorno 21 marzo 2018 con l’intervento dei magistrati: </w:t>
      </w:r>
      <w:r w:rsidRPr="001839E3">
        <w:rPr>
          <w:rFonts w:ascii="Times New Roman" w:eastAsia="Times New Roman" w:hAnsi="Times New Roman" w:cs="Times New Roman"/>
          <w:color w:val="3D3B39"/>
          <w:lang w:eastAsia="it-IT"/>
        </w:rPr>
        <w:br/>
        <w:t xml:space="preserve">Oria </w:t>
      </w:r>
      <w:proofErr w:type="spellStart"/>
      <w:r w:rsidRPr="001839E3">
        <w:rPr>
          <w:rFonts w:ascii="Times New Roman" w:eastAsia="Times New Roman" w:hAnsi="Times New Roman" w:cs="Times New Roman"/>
          <w:color w:val="3D3B39"/>
          <w:lang w:eastAsia="it-IT"/>
        </w:rPr>
        <w:t>Settesoldi</w:t>
      </w:r>
      <w:proofErr w:type="spellEnd"/>
      <w:r w:rsidRPr="001839E3">
        <w:rPr>
          <w:rFonts w:ascii="Times New Roman" w:eastAsia="Times New Roman" w:hAnsi="Times New Roman" w:cs="Times New Roman"/>
          <w:color w:val="3D3B39"/>
          <w:lang w:eastAsia="it-IT"/>
        </w:rPr>
        <w:t xml:space="preserve">, Presidente </w:t>
      </w:r>
      <w:r w:rsidRPr="001839E3">
        <w:rPr>
          <w:rFonts w:ascii="Times New Roman" w:eastAsia="Times New Roman" w:hAnsi="Times New Roman" w:cs="Times New Roman"/>
          <w:color w:val="3D3B39"/>
          <w:lang w:eastAsia="it-IT"/>
        </w:rPr>
        <w:br/>
        <w:t xml:space="preserve">Manuela </w:t>
      </w:r>
      <w:proofErr w:type="spellStart"/>
      <w:r w:rsidRPr="001839E3">
        <w:rPr>
          <w:rFonts w:ascii="Times New Roman" w:eastAsia="Times New Roman" w:hAnsi="Times New Roman" w:cs="Times New Roman"/>
          <w:color w:val="3D3B39"/>
          <w:lang w:eastAsia="it-IT"/>
        </w:rPr>
        <w:t>Sinigoi</w:t>
      </w:r>
      <w:proofErr w:type="spellEnd"/>
      <w:r w:rsidRPr="001839E3">
        <w:rPr>
          <w:rFonts w:ascii="Times New Roman" w:eastAsia="Times New Roman" w:hAnsi="Times New Roman" w:cs="Times New Roman"/>
          <w:color w:val="3D3B39"/>
          <w:lang w:eastAsia="it-IT"/>
        </w:rPr>
        <w:t xml:space="preserve">, Consigliere </w:t>
      </w:r>
      <w:r w:rsidRPr="001839E3">
        <w:rPr>
          <w:rFonts w:ascii="Times New Roman" w:eastAsia="Times New Roman" w:hAnsi="Times New Roman" w:cs="Times New Roman"/>
          <w:color w:val="3D3B39"/>
          <w:lang w:eastAsia="it-IT"/>
        </w:rPr>
        <w:br/>
        <w:t xml:space="preserve">Alessandra </w:t>
      </w:r>
      <w:proofErr w:type="spellStart"/>
      <w:r w:rsidRPr="001839E3">
        <w:rPr>
          <w:rFonts w:ascii="Times New Roman" w:eastAsia="Times New Roman" w:hAnsi="Times New Roman" w:cs="Times New Roman"/>
          <w:color w:val="3D3B39"/>
          <w:lang w:eastAsia="it-IT"/>
        </w:rPr>
        <w:t>Tagliasacchi</w:t>
      </w:r>
      <w:proofErr w:type="spellEnd"/>
      <w:r w:rsidRPr="001839E3">
        <w:rPr>
          <w:rFonts w:ascii="Times New Roman" w:eastAsia="Times New Roman" w:hAnsi="Times New Roman" w:cs="Times New Roman"/>
          <w:color w:val="3D3B39"/>
          <w:lang w:eastAsia="it-IT"/>
        </w:rPr>
        <w:t xml:space="preserve">, Primo Referendario, Estensore </w:t>
      </w:r>
    </w:p>
    <w:p w:rsidR="001839E3" w:rsidRPr="006A4D7A" w:rsidRDefault="001839E3">
      <w:pPr>
        <w:rPr>
          <w:rFonts w:ascii="Times New Roman" w:hAnsi="Times New Roman" w:cs="Times New Roman"/>
        </w:rPr>
      </w:pPr>
    </w:p>
    <w:p w:rsidR="001839E3" w:rsidRPr="006A4D7A" w:rsidRDefault="001839E3">
      <w:pPr>
        <w:rPr>
          <w:rFonts w:ascii="Times New Roman" w:hAnsi="Times New Roman" w:cs="Times New Roman"/>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6A4D7A" w:rsidRDefault="006A4D7A" w:rsidP="001839E3">
      <w:pPr>
        <w:spacing w:after="265" w:line="240" w:lineRule="auto"/>
        <w:jc w:val="right"/>
        <w:rPr>
          <w:rFonts w:ascii="Times New Roman" w:eastAsia="Times New Roman" w:hAnsi="Times New Roman" w:cs="Times New Roman"/>
          <w:b/>
          <w:bCs/>
          <w:caps/>
          <w:color w:val="000000"/>
          <w:lang w:eastAsia="it-IT"/>
        </w:rPr>
      </w:pPr>
    </w:p>
    <w:p w:rsidR="001839E3" w:rsidRPr="001839E3" w:rsidRDefault="001839E3" w:rsidP="001839E3">
      <w:pPr>
        <w:spacing w:after="265" w:line="240" w:lineRule="auto"/>
        <w:jc w:val="right"/>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lastRenderedPageBreak/>
        <w:t xml:space="preserve">N. 00480/2018 REG.PROV.COLL. </w:t>
      </w:r>
      <w:r w:rsidRPr="001839E3">
        <w:rPr>
          <w:rFonts w:ascii="Times New Roman" w:eastAsia="Times New Roman" w:hAnsi="Times New Roman" w:cs="Times New Roman"/>
          <w:color w:val="3D3B39"/>
          <w:lang w:eastAsia="it-IT"/>
        </w:rPr>
        <w:br/>
        <w:t xml:space="preserve">N. 00886/2017 REG.RIC.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REPUBBLICA ITALIANA</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IN NOME DEL POPOLO ITALIANO </w:t>
      </w:r>
      <w:r w:rsidRPr="001839E3">
        <w:rPr>
          <w:rFonts w:ascii="Times New Roman" w:eastAsia="Times New Roman" w:hAnsi="Times New Roman" w:cs="Times New Roman"/>
          <w:color w:val="3D3B39"/>
          <w:lang w:eastAsia="it-IT"/>
        </w:rPr>
        <w:br/>
        <w:t xml:space="preserve">Il Tribunale Amministrativo Regionale per la Liguria </w:t>
      </w:r>
      <w:r w:rsidRPr="001839E3">
        <w:rPr>
          <w:rFonts w:ascii="Times New Roman" w:eastAsia="Times New Roman" w:hAnsi="Times New Roman" w:cs="Times New Roman"/>
          <w:color w:val="3D3B39"/>
          <w:lang w:eastAsia="it-IT"/>
        </w:rPr>
        <w:br/>
        <w:t xml:space="preserve">(Sezione Seconda) </w:t>
      </w:r>
      <w:r w:rsidRPr="001839E3">
        <w:rPr>
          <w:rFonts w:ascii="Times New Roman" w:eastAsia="Times New Roman" w:hAnsi="Times New Roman" w:cs="Times New Roman"/>
          <w:color w:val="3D3B39"/>
          <w:lang w:eastAsia="it-IT"/>
        </w:rPr>
        <w:br/>
        <w:t xml:space="preserve">ha pronunciato la presente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SENTENZA</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sul ricorso numero di registro generale 886 del 2017, proposto da: </w:t>
      </w:r>
      <w:r w:rsidRPr="001839E3">
        <w:rPr>
          <w:rFonts w:ascii="Times New Roman" w:eastAsia="Times New Roman" w:hAnsi="Times New Roman" w:cs="Times New Roman"/>
          <w:color w:val="3D3B39"/>
          <w:lang w:eastAsia="it-IT"/>
        </w:rPr>
        <w:br/>
        <w:t xml:space="preserve">S.C.T. Sistemi Controllo Traffico S.r.l., in persona del legale rappresentante, rappresentato e difeso dall'avvocato Giuseppe Inglese, con domicilio eletto presso il suo studio in Genova, via Porta degli Archi 3; </w:t>
      </w:r>
      <w:r w:rsidRPr="001839E3">
        <w:rPr>
          <w:rFonts w:ascii="Times New Roman" w:eastAsia="Times New Roman" w:hAnsi="Times New Roman" w:cs="Times New Roman"/>
          <w:color w:val="3D3B39"/>
          <w:lang w:eastAsia="it-IT"/>
        </w:rPr>
        <w:br/>
        <w:t xml:space="preserve">contro </w:t>
      </w:r>
      <w:r w:rsidRPr="001839E3">
        <w:rPr>
          <w:rFonts w:ascii="Times New Roman" w:eastAsia="Times New Roman" w:hAnsi="Times New Roman" w:cs="Times New Roman"/>
          <w:color w:val="3D3B39"/>
          <w:lang w:eastAsia="it-IT"/>
        </w:rPr>
        <w:br/>
        <w:t xml:space="preserve">A.S.L. N° 2 Savonese, in persona del legale rappresentante, rappresentato e difeso dall'avvocato Francesco Massa, con domicilio eletto presso il suo studio in Genova, via Roma 11/1;  </w:t>
      </w:r>
      <w:r w:rsidRPr="001839E3">
        <w:rPr>
          <w:rFonts w:ascii="Times New Roman" w:eastAsia="Times New Roman" w:hAnsi="Times New Roman" w:cs="Times New Roman"/>
          <w:color w:val="3D3B39"/>
          <w:lang w:eastAsia="it-IT"/>
        </w:rPr>
        <w:br/>
        <w:t xml:space="preserve">nei confronti </w:t>
      </w:r>
      <w:r w:rsidRPr="001839E3">
        <w:rPr>
          <w:rFonts w:ascii="Times New Roman" w:eastAsia="Times New Roman" w:hAnsi="Times New Roman" w:cs="Times New Roman"/>
          <w:color w:val="3D3B39"/>
          <w:lang w:eastAsia="it-IT"/>
        </w:rPr>
        <w:br/>
        <w:t xml:space="preserve">A.M. Parking S.r.l. non costituito in giudizio; </w:t>
      </w:r>
      <w:r w:rsidRPr="001839E3">
        <w:rPr>
          <w:rFonts w:ascii="Times New Roman" w:eastAsia="Times New Roman" w:hAnsi="Times New Roman" w:cs="Times New Roman"/>
          <w:color w:val="3D3B39"/>
          <w:lang w:eastAsia="it-IT"/>
        </w:rPr>
        <w:br/>
        <w:t xml:space="preserve">per l'annullamento </w:t>
      </w:r>
      <w:r w:rsidRPr="001839E3">
        <w:rPr>
          <w:rFonts w:ascii="Times New Roman" w:eastAsia="Times New Roman" w:hAnsi="Times New Roman" w:cs="Times New Roman"/>
          <w:color w:val="3D3B39"/>
          <w:lang w:eastAsia="it-IT"/>
        </w:rPr>
        <w:br/>
        <w:t xml:space="preserve">- della deliberazione del Direttore generale dell’ASL n. 2 26 ottobre 2017 n. 748 di aggiudicazione ad A.M. Parking s.r.l. della concessione del servizio di gestione delle aree di sosta a pagamento negli ospedali di Savona, Pietra Ligure e Albenga; </w:t>
      </w:r>
      <w:r w:rsidRPr="001839E3">
        <w:rPr>
          <w:rFonts w:ascii="Times New Roman" w:eastAsia="Times New Roman" w:hAnsi="Times New Roman" w:cs="Times New Roman"/>
          <w:color w:val="3D3B39"/>
          <w:lang w:eastAsia="it-IT"/>
        </w:rPr>
        <w:br/>
        <w:t xml:space="preserve">- della nota 2 novembre 2017 n. 97315 di comunicazione della deliberazione; </w:t>
      </w:r>
      <w:r w:rsidRPr="001839E3">
        <w:rPr>
          <w:rFonts w:ascii="Times New Roman" w:eastAsia="Times New Roman" w:hAnsi="Times New Roman" w:cs="Times New Roman"/>
          <w:color w:val="3D3B39"/>
          <w:lang w:eastAsia="it-IT"/>
        </w:rPr>
        <w:br/>
        <w:t xml:space="preserve">- di ogni altro atto presupposto, preparatorio, conseguente e/o connesso ivi compresi i verbali di gara e le note 14/7/2017 n. 64842 e 2/11/2017 n. 97311 dell'ASL 2; nonché per l'accertamento e la declaratoria di inefficacia del contratto che sia stato o che venisse concluso a seguito della gara tra la ASL 2 e la A.M. Parking S.r.l.; e, quindi, per l'accertamento e la declaratoria del diritto della ricorrente al risarcimento del danno in forma specifica mediante la stipula del contratto con la ASL 2 Savonese e/o al subentro nel contratto stesso e per la conseguente condanna della medesima ASL 2 a disporre tale risarcimento, nonché, in subordine, per l'accertamento e la declaratoria del diritto della ricorrente al risarcimento del danno per equivalente monetario, da quantificarsi nel corso del presente o in separato giudizio, e per la conseguente condanna della ASL 2 Savonese a disporre tale risarcimento.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Visti il ricorso e i relativi allegati; </w:t>
      </w:r>
      <w:r w:rsidRPr="001839E3">
        <w:rPr>
          <w:rFonts w:ascii="Times New Roman" w:eastAsia="Times New Roman" w:hAnsi="Times New Roman" w:cs="Times New Roman"/>
          <w:color w:val="3D3B39"/>
          <w:lang w:eastAsia="it-IT"/>
        </w:rPr>
        <w:br/>
        <w:t xml:space="preserve">Visto l'atto di costituzione in giudizio di A.S.L. N° 2 Savonese; </w:t>
      </w:r>
      <w:r w:rsidRPr="001839E3">
        <w:rPr>
          <w:rFonts w:ascii="Times New Roman" w:eastAsia="Times New Roman" w:hAnsi="Times New Roman" w:cs="Times New Roman"/>
          <w:color w:val="3D3B39"/>
          <w:lang w:eastAsia="it-IT"/>
        </w:rPr>
        <w:br/>
        <w:t xml:space="preserve">Viste le memorie difensive; </w:t>
      </w:r>
      <w:r w:rsidRPr="001839E3">
        <w:rPr>
          <w:rFonts w:ascii="Times New Roman" w:eastAsia="Times New Roman" w:hAnsi="Times New Roman" w:cs="Times New Roman"/>
          <w:color w:val="3D3B39"/>
          <w:lang w:eastAsia="it-IT"/>
        </w:rPr>
        <w:br/>
        <w:t xml:space="preserve">Visti tutti gli atti della causa; </w:t>
      </w:r>
      <w:r w:rsidRPr="001839E3">
        <w:rPr>
          <w:rFonts w:ascii="Times New Roman" w:eastAsia="Times New Roman" w:hAnsi="Times New Roman" w:cs="Times New Roman"/>
          <w:color w:val="3D3B39"/>
          <w:lang w:eastAsia="it-IT"/>
        </w:rPr>
        <w:br/>
        <w:t xml:space="preserve">Relatore nell'udienza pubblica del giorno 18 aprile 2018 il dott. Luca </w:t>
      </w:r>
      <w:proofErr w:type="spellStart"/>
      <w:r w:rsidRPr="001839E3">
        <w:rPr>
          <w:rFonts w:ascii="Times New Roman" w:eastAsia="Times New Roman" w:hAnsi="Times New Roman" w:cs="Times New Roman"/>
          <w:color w:val="3D3B39"/>
          <w:lang w:eastAsia="it-IT"/>
        </w:rPr>
        <w:t>Morbelli</w:t>
      </w:r>
      <w:proofErr w:type="spellEnd"/>
      <w:r w:rsidRPr="001839E3">
        <w:rPr>
          <w:rFonts w:ascii="Times New Roman" w:eastAsia="Times New Roman" w:hAnsi="Times New Roman" w:cs="Times New Roman"/>
          <w:color w:val="3D3B39"/>
          <w:lang w:eastAsia="it-IT"/>
        </w:rPr>
        <w:t xml:space="preserve"> e uditi per le parti i difensori come specificato nel verbale; </w:t>
      </w:r>
      <w:r w:rsidRPr="001839E3">
        <w:rPr>
          <w:rFonts w:ascii="Times New Roman" w:eastAsia="Times New Roman" w:hAnsi="Times New Roman" w:cs="Times New Roman"/>
          <w:color w:val="3D3B39"/>
          <w:lang w:eastAsia="it-IT"/>
        </w:rPr>
        <w:br/>
        <w:t xml:space="preserve">Ritenuto e considerato in fatto e diritto quanto segue.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FATTO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Con ricorso notificato il 27 novembre 2017 e depositato il successivo 11 dicembre 2017 la società SCT sistemi controllo del traffico s.r.l., ha impugnato, chiedendone l’annullamento, previa sospensione dell'esecuzione, i provvedimenti in epigrafe. </w:t>
      </w:r>
      <w:r w:rsidRPr="001839E3">
        <w:rPr>
          <w:rFonts w:ascii="Times New Roman" w:eastAsia="Times New Roman" w:hAnsi="Times New Roman" w:cs="Times New Roman"/>
          <w:color w:val="3D3B39"/>
          <w:lang w:eastAsia="it-IT"/>
        </w:rPr>
        <w:br/>
        <w:t xml:space="preserve">Avverso i provvedimenti impugnati la ricorrente ha dedotto i seguenti motivi: </w:t>
      </w:r>
      <w:r w:rsidRPr="001839E3">
        <w:rPr>
          <w:rFonts w:ascii="Times New Roman" w:eastAsia="Times New Roman" w:hAnsi="Times New Roman" w:cs="Times New Roman"/>
          <w:color w:val="3D3B39"/>
          <w:lang w:eastAsia="it-IT"/>
        </w:rPr>
        <w:br/>
        <w:t xml:space="preserve">Violazione e/o falsa applicazione dell'art. 40 del d.lgs. n. 159/2011 e </w:t>
      </w:r>
      <w:proofErr w:type="spellStart"/>
      <w:r w:rsidRPr="001839E3">
        <w:rPr>
          <w:rFonts w:ascii="Times New Roman" w:eastAsia="Times New Roman" w:hAnsi="Times New Roman" w:cs="Times New Roman"/>
          <w:color w:val="3D3B39"/>
          <w:lang w:eastAsia="it-IT"/>
        </w:rPr>
        <w:t>s.m.i.</w:t>
      </w:r>
      <w:proofErr w:type="spellEnd"/>
      <w:r w:rsidRPr="001839E3">
        <w:rPr>
          <w:rFonts w:ascii="Times New Roman" w:eastAsia="Times New Roman" w:hAnsi="Times New Roman" w:cs="Times New Roman"/>
          <w:color w:val="3D3B39"/>
          <w:lang w:eastAsia="it-IT"/>
        </w:rPr>
        <w:t xml:space="preserve">, nonché dei principi di imparzialità e buon andamento dell’attività amministrativa – Violazione dell’art. 10 legge n. 241/1990 e </w:t>
      </w:r>
      <w:proofErr w:type="spellStart"/>
      <w:r w:rsidRPr="001839E3">
        <w:rPr>
          <w:rFonts w:ascii="Times New Roman" w:eastAsia="Times New Roman" w:hAnsi="Times New Roman" w:cs="Times New Roman"/>
          <w:color w:val="3D3B39"/>
          <w:lang w:eastAsia="it-IT"/>
        </w:rPr>
        <w:t>s.m.i.</w:t>
      </w:r>
      <w:proofErr w:type="spellEnd"/>
      <w:r w:rsidRPr="001839E3">
        <w:rPr>
          <w:rFonts w:ascii="Times New Roman" w:eastAsia="Times New Roman" w:hAnsi="Times New Roman" w:cs="Times New Roman"/>
          <w:color w:val="3D3B39"/>
          <w:lang w:eastAsia="it-IT"/>
        </w:rPr>
        <w:t xml:space="preserve"> e dei principi del giusto procedimento e di buona amministrazione – Eccesso di potere per errore sui presupposti di fatto e di diritto e conseguente travisamento, difetto di istruttoria e di motivazione, disparità di trattamento, in quanto, essendo la società A.M. Parking sotto posta a sequestro preventivo d’urgenza la domanda di partecipazione sarebbe stata sottoscritta dal solo amministratore della società senza il preventivo assenso dell’amministratore giudiziario nominato dal giudice delegato;  </w:t>
      </w:r>
      <w:r w:rsidRPr="001839E3">
        <w:rPr>
          <w:rFonts w:ascii="Times New Roman" w:eastAsia="Times New Roman" w:hAnsi="Times New Roman" w:cs="Times New Roman"/>
          <w:color w:val="3D3B39"/>
          <w:lang w:eastAsia="it-IT"/>
        </w:rPr>
        <w:br/>
        <w:t xml:space="preserve">Violazione e/o falsa applicazione dell'art. 4 del disciplinare di gara e dell’art. 83 del d.lgs. n. 50/2016, nonché </w:t>
      </w:r>
      <w:r w:rsidRPr="001839E3">
        <w:rPr>
          <w:rFonts w:ascii="Times New Roman" w:eastAsia="Times New Roman" w:hAnsi="Times New Roman" w:cs="Times New Roman"/>
          <w:color w:val="3D3B39"/>
          <w:lang w:eastAsia="it-IT"/>
        </w:rPr>
        <w:lastRenderedPageBreak/>
        <w:t xml:space="preserve">dei principi di imparzialità, buon andamento, efficacia ed efficienza dell’attività amministrativa – Eccesso di potere per errore sui presupposti di fatto e di diritto e conseguente travisamento, difetto di istruttoria e di motivazione, disparità di trattamento, in quanto A.M. Parking sarebbe stata ammessa alla gara in assenza della dimostrazione del possesso dei requisiti di cui all’art. 4 del disciplinare di gara con particolare riferimento a referenze bancarie, esperienza gestionale pregressa, fatturato minimo; </w:t>
      </w:r>
      <w:r w:rsidRPr="001839E3">
        <w:rPr>
          <w:rFonts w:ascii="Times New Roman" w:eastAsia="Times New Roman" w:hAnsi="Times New Roman" w:cs="Times New Roman"/>
          <w:color w:val="3D3B39"/>
          <w:lang w:eastAsia="it-IT"/>
        </w:rPr>
        <w:br/>
        <w:t xml:space="preserve">Violazione e/o falsa applicazione dell'art. 97 del d.lgs. n. 50/2016 e </w:t>
      </w:r>
      <w:proofErr w:type="spellStart"/>
      <w:r w:rsidRPr="001839E3">
        <w:rPr>
          <w:rFonts w:ascii="Times New Roman" w:eastAsia="Times New Roman" w:hAnsi="Times New Roman" w:cs="Times New Roman"/>
          <w:color w:val="3D3B39"/>
          <w:lang w:eastAsia="it-IT"/>
        </w:rPr>
        <w:t>s.m.i.</w:t>
      </w:r>
      <w:proofErr w:type="spellEnd"/>
      <w:r w:rsidRPr="001839E3">
        <w:rPr>
          <w:rFonts w:ascii="Times New Roman" w:eastAsia="Times New Roman" w:hAnsi="Times New Roman" w:cs="Times New Roman"/>
          <w:color w:val="3D3B39"/>
          <w:lang w:eastAsia="it-IT"/>
        </w:rPr>
        <w:t xml:space="preserve"> nonché dei principi di par condicio, trasparenza, imparzialità, buon andamento, efficacia ed efficienza dell’attività amministrativa - Eccesso di potere per errore sui presupposti di fatto e di diritto e conseguente travisamento, difetto di istruttoria e di motivazione, disparità di trattamento, contraddittorietà, illogicità, ingiustizia grave e manifesta, sviamento, in quanto, le giustificazioni rese dalla A.M. Parking in sede di verifica dell’anomalia non sarebbero idonee a superare il sospetto di anomalia; </w:t>
      </w:r>
      <w:r w:rsidRPr="001839E3">
        <w:rPr>
          <w:rFonts w:ascii="Times New Roman" w:eastAsia="Times New Roman" w:hAnsi="Times New Roman" w:cs="Times New Roman"/>
          <w:color w:val="3D3B39"/>
          <w:lang w:eastAsia="it-IT"/>
        </w:rPr>
        <w:br/>
        <w:t xml:space="preserve">Violazione e/o falsa applicazione dell'art. 10 del disciplinare di gara nonché delle regole e principi in materia di svolgimento delle procedure ad evidenza pubblica – Violazione dei principi di imparzialità e buon andamento dell’attività amministrativa e dell’art. 97 </w:t>
      </w:r>
      <w:proofErr w:type="spellStart"/>
      <w:r w:rsidRPr="001839E3">
        <w:rPr>
          <w:rFonts w:ascii="Times New Roman" w:eastAsia="Times New Roman" w:hAnsi="Times New Roman" w:cs="Times New Roman"/>
          <w:color w:val="3D3B39"/>
          <w:lang w:eastAsia="it-IT"/>
        </w:rPr>
        <w:t>Cost</w:t>
      </w:r>
      <w:proofErr w:type="spellEnd"/>
      <w:r w:rsidRPr="001839E3">
        <w:rPr>
          <w:rFonts w:ascii="Times New Roman" w:eastAsia="Times New Roman" w:hAnsi="Times New Roman" w:cs="Times New Roman"/>
          <w:color w:val="3D3B39"/>
          <w:lang w:eastAsia="it-IT"/>
        </w:rPr>
        <w:t xml:space="preserve">. – Violazione dei principi del giusto procedimento e di buona amministrazione – Eccesso di potere per errore sui presupposti di fatto e di diritto e conseguente travisamento, difetto di istruttoria e di motivazione, illogicità, sviamento, in quanto il seggio di gara dopo avere ammesso con riserva la aggiudicataria invece di rinviare l’apertura delle buste contenti l’offerta economica ad una seduta successiva allo scioglimento della riserva circa l’ammissione della aggiudicataria ha provveduto nella stessa seduta all’apertura delle buste contenenti l’offerta economica; </w:t>
      </w:r>
      <w:r w:rsidRPr="001839E3">
        <w:rPr>
          <w:rFonts w:ascii="Times New Roman" w:eastAsia="Times New Roman" w:hAnsi="Times New Roman" w:cs="Times New Roman"/>
          <w:color w:val="3D3B39"/>
          <w:lang w:eastAsia="it-IT"/>
        </w:rPr>
        <w:br/>
        <w:t xml:space="preserve">Violazione e/o falsa applicazione dell'art. 10 del disciplinare di gara nonché delle regole e principi in materia di svolgimento delle procedure ad evidenza pubblica – Violazione dei principi di imparzialità e buon andamento dell’attività amministrativa e dell’art. 97 </w:t>
      </w:r>
      <w:proofErr w:type="spellStart"/>
      <w:r w:rsidRPr="001839E3">
        <w:rPr>
          <w:rFonts w:ascii="Times New Roman" w:eastAsia="Times New Roman" w:hAnsi="Times New Roman" w:cs="Times New Roman"/>
          <w:color w:val="3D3B39"/>
          <w:lang w:eastAsia="it-IT"/>
        </w:rPr>
        <w:t>Cost</w:t>
      </w:r>
      <w:proofErr w:type="spellEnd"/>
      <w:r w:rsidRPr="001839E3">
        <w:rPr>
          <w:rFonts w:ascii="Times New Roman" w:eastAsia="Times New Roman" w:hAnsi="Times New Roman" w:cs="Times New Roman"/>
          <w:color w:val="3D3B39"/>
          <w:lang w:eastAsia="it-IT"/>
        </w:rPr>
        <w:t xml:space="preserve">. – Violazione dei principi del giusto procedimento e di buona amministrazione – Eccesso di potere per errore sui presupposti di fatto e di diritto e conseguente travisamento, difetto di istruttoria e di motivazione, illogicità, in quanto sarebbe stato leso il principio di immutabilità dell’organo chiamato a compiere le valutazioni delle offerte. </w:t>
      </w:r>
      <w:r w:rsidRPr="001839E3">
        <w:rPr>
          <w:rFonts w:ascii="Times New Roman" w:eastAsia="Times New Roman" w:hAnsi="Times New Roman" w:cs="Times New Roman"/>
          <w:color w:val="3D3B39"/>
          <w:lang w:eastAsia="it-IT"/>
        </w:rPr>
        <w:br/>
        <w:t xml:space="preserve">La ricorrente concludeva per l’accoglimento del ricorso e l’annullamento, previa sospensiva, del provvedimenti impugnati con vittoria delle spese di giudizio. </w:t>
      </w:r>
      <w:r w:rsidRPr="001839E3">
        <w:rPr>
          <w:rFonts w:ascii="Times New Roman" w:eastAsia="Times New Roman" w:hAnsi="Times New Roman" w:cs="Times New Roman"/>
          <w:color w:val="3D3B39"/>
          <w:lang w:eastAsia="it-IT"/>
        </w:rPr>
        <w:br/>
        <w:t xml:space="preserve">Veniva formulata altresì domanda di declaratoria di inefficacia del contratto e di risarcimento del danno. </w:t>
      </w:r>
      <w:r w:rsidRPr="001839E3">
        <w:rPr>
          <w:rFonts w:ascii="Times New Roman" w:eastAsia="Times New Roman" w:hAnsi="Times New Roman" w:cs="Times New Roman"/>
          <w:color w:val="3D3B39"/>
          <w:lang w:eastAsia="it-IT"/>
        </w:rPr>
        <w:br/>
        <w:t xml:space="preserve">Si costituiva in giudizio l’ASL n. 2 intimata. </w:t>
      </w:r>
      <w:r w:rsidRPr="001839E3">
        <w:rPr>
          <w:rFonts w:ascii="Times New Roman" w:eastAsia="Times New Roman" w:hAnsi="Times New Roman" w:cs="Times New Roman"/>
          <w:color w:val="3D3B39"/>
          <w:lang w:eastAsia="it-IT"/>
        </w:rPr>
        <w:br/>
        <w:t xml:space="preserve">Con ordinanza 8 marzo 2018 n. 59 è stata accolta l’istanza incidentale di sospensione dell’esecuzione dei provvedimenti impugnati. </w:t>
      </w:r>
      <w:r w:rsidRPr="001839E3">
        <w:rPr>
          <w:rFonts w:ascii="Times New Roman" w:eastAsia="Times New Roman" w:hAnsi="Times New Roman" w:cs="Times New Roman"/>
          <w:color w:val="3D3B39"/>
          <w:lang w:eastAsia="it-IT"/>
        </w:rPr>
        <w:br/>
        <w:t xml:space="preserve">All’udienza pubblica del 18 aprile 2018 il ricorso è passato in decisione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DIRITTO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Il ricorso è rivolto avverso l’aggiudicazione della gara per l’affidamento della concessione del servizio di gestione delle aree di sosta a pagamento negli ospedali di Savona, Pietra Ligure e Albenga.  </w:t>
      </w:r>
      <w:r w:rsidRPr="001839E3">
        <w:rPr>
          <w:rFonts w:ascii="Times New Roman" w:eastAsia="Times New Roman" w:hAnsi="Times New Roman" w:cs="Times New Roman"/>
          <w:color w:val="3D3B39"/>
          <w:lang w:eastAsia="it-IT"/>
        </w:rPr>
        <w:br/>
        <w:t xml:space="preserve">Il ricorso è fondato. </w:t>
      </w:r>
      <w:r w:rsidRPr="001839E3">
        <w:rPr>
          <w:rFonts w:ascii="Times New Roman" w:eastAsia="Times New Roman" w:hAnsi="Times New Roman" w:cs="Times New Roman"/>
          <w:color w:val="3D3B39"/>
          <w:lang w:eastAsia="it-IT"/>
        </w:rPr>
        <w:br/>
        <w:t xml:space="preserve">Deve essere respinta l’eccezione di tardività del ricorso per essere stato proposto decorso il termine di trenta giorni dal momento in cui la proposta di aggiudicazione è diventata definitiva.  </w:t>
      </w:r>
      <w:r w:rsidRPr="001839E3">
        <w:rPr>
          <w:rFonts w:ascii="Times New Roman" w:eastAsia="Times New Roman" w:hAnsi="Times New Roman" w:cs="Times New Roman"/>
          <w:color w:val="3D3B39"/>
          <w:lang w:eastAsia="it-IT"/>
        </w:rPr>
        <w:br/>
        <w:t xml:space="preserve">In sostanza la proposta di aggiudicazione è stata formulata alla seduta del 30 giugno 2017, conseguentemente la stessa è diventata definitiva in data 30 luglio 2017 con l’ulteriore conseguenza che il ricorso notificato in data 27 novembre 2017 deve ritenersi tardivo. </w:t>
      </w:r>
      <w:r w:rsidRPr="001839E3">
        <w:rPr>
          <w:rFonts w:ascii="Times New Roman" w:eastAsia="Times New Roman" w:hAnsi="Times New Roman" w:cs="Times New Roman"/>
          <w:color w:val="3D3B39"/>
          <w:lang w:eastAsia="it-IT"/>
        </w:rPr>
        <w:br/>
        <w:t xml:space="preserve">La tesi non persuade </w:t>
      </w:r>
      <w:r w:rsidRPr="001839E3">
        <w:rPr>
          <w:rFonts w:ascii="Times New Roman" w:eastAsia="Times New Roman" w:hAnsi="Times New Roman" w:cs="Times New Roman"/>
          <w:color w:val="3D3B39"/>
          <w:lang w:eastAsia="it-IT"/>
        </w:rPr>
        <w:br/>
        <w:t xml:space="preserve">Deve, infatti, rilevarsi come l’aggiudicazione non costituisca atto meramente confermativo della proposta di aggiudicazione </w:t>
      </w:r>
      <w:proofErr w:type="spellStart"/>
      <w:r w:rsidRPr="001839E3">
        <w:rPr>
          <w:rFonts w:ascii="Times New Roman" w:eastAsia="Times New Roman" w:hAnsi="Times New Roman" w:cs="Times New Roman"/>
          <w:color w:val="3D3B39"/>
          <w:lang w:eastAsia="it-IT"/>
        </w:rPr>
        <w:t>ancorchè</w:t>
      </w:r>
      <w:proofErr w:type="spellEnd"/>
      <w:r w:rsidRPr="001839E3">
        <w:rPr>
          <w:rFonts w:ascii="Times New Roman" w:eastAsia="Times New Roman" w:hAnsi="Times New Roman" w:cs="Times New Roman"/>
          <w:color w:val="3D3B39"/>
          <w:lang w:eastAsia="it-IT"/>
        </w:rPr>
        <w:t xml:space="preserve"> definitiva ma costituisca atto autonomo proprio della </w:t>
      </w:r>
      <w:proofErr w:type="spellStart"/>
      <w:r w:rsidRPr="001839E3">
        <w:rPr>
          <w:rFonts w:ascii="Times New Roman" w:eastAsia="Times New Roman" w:hAnsi="Times New Roman" w:cs="Times New Roman"/>
          <w:color w:val="3D3B39"/>
          <w:lang w:eastAsia="it-IT"/>
        </w:rPr>
        <w:t>stazioneappaltante</w:t>
      </w:r>
      <w:proofErr w:type="spellEnd"/>
      <w:r w:rsidRPr="001839E3">
        <w:rPr>
          <w:rFonts w:ascii="Times New Roman" w:eastAsia="Times New Roman" w:hAnsi="Times New Roman" w:cs="Times New Roman"/>
          <w:color w:val="3D3B39"/>
          <w:lang w:eastAsia="it-IT"/>
        </w:rPr>
        <w:t xml:space="preserve"> che dopo avere rivisitato tutta la gara provvede a concluderla con l’individuazione dell’aggiudicatario laddove la proposta di aggiudicazione costituisce un mero atto </w:t>
      </w:r>
      <w:proofErr w:type="spellStart"/>
      <w:r w:rsidRPr="001839E3">
        <w:rPr>
          <w:rFonts w:ascii="Times New Roman" w:eastAsia="Times New Roman" w:hAnsi="Times New Roman" w:cs="Times New Roman"/>
          <w:color w:val="3D3B39"/>
          <w:lang w:eastAsia="it-IT"/>
        </w:rPr>
        <w:t>endoprocedimentale</w:t>
      </w:r>
      <w:proofErr w:type="spellEnd"/>
      <w:r w:rsidRPr="001839E3">
        <w:rPr>
          <w:rFonts w:ascii="Times New Roman" w:eastAsia="Times New Roman" w:hAnsi="Times New Roman" w:cs="Times New Roman"/>
          <w:color w:val="3D3B39"/>
          <w:lang w:eastAsia="it-IT"/>
        </w:rPr>
        <w:t xml:space="preserve"> privo di propria autonomia. </w:t>
      </w:r>
      <w:r w:rsidRPr="001839E3">
        <w:rPr>
          <w:rFonts w:ascii="Times New Roman" w:eastAsia="Times New Roman" w:hAnsi="Times New Roman" w:cs="Times New Roman"/>
          <w:color w:val="3D3B39"/>
          <w:lang w:eastAsia="it-IT"/>
        </w:rPr>
        <w:br/>
        <w:t xml:space="preserve">A tal riguardo la giurisprudenza ha affermato come: “La comunicazione di cui all’art. 76, comma 5, </w:t>
      </w:r>
      <w:proofErr w:type="spellStart"/>
      <w:r w:rsidRPr="001839E3">
        <w:rPr>
          <w:rFonts w:ascii="Times New Roman" w:eastAsia="Times New Roman" w:hAnsi="Times New Roman" w:cs="Times New Roman"/>
          <w:color w:val="3D3B39"/>
          <w:lang w:eastAsia="it-IT"/>
        </w:rPr>
        <w:t>lett</w:t>
      </w:r>
      <w:proofErr w:type="spellEnd"/>
      <w:r w:rsidRPr="001839E3">
        <w:rPr>
          <w:rFonts w:ascii="Times New Roman" w:eastAsia="Times New Roman" w:hAnsi="Times New Roman" w:cs="Times New Roman"/>
          <w:color w:val="3D3B39"/>
          <w:lang w:eastAsia="it-IT"/>
        </w:rPr>
        <w:t xml:space="preserve">. a), d.lgs. n. 50 del 2016, che deve essere fatta d’ufficio immediatamente (e comunque non oltre gg. 5) da parte della Stazione Appaltante, nel riferirsi all’“aggiudicazione” (non ulteriormente qualificata), si riferisce all’atto conseguente all’approvazione dell’organo competente e non alla “proposta di aggiudicazione” (di cui all’art. 33) o “aggiudicazione provvisoria” secondo la terminologia del Codice previgente. La proposta di aggiudicazione, peraltro, fa nascere una mera aspettativa in capo all’interessato alla positiva definizione del procedimento stesso, in quanto in essa non si individua il provvedimento conclusivo della procedura di evidenza pubblica, avendo per sua natura un’efficacia destinata ad essere superata. Non a caso l’art. 204 del </w:t>
      </w:r>
      <w:r w:rsidRPr="001839E3">
        <w:rPr>
          <w:rFonts w:ascii="Times New Roman" w:eastAsia="Times New Roman" w:hAnsi="Times New Roman" w:cs="Times New Roman"/>
          <w:color w:val="3D3B39"/>
          <w:lang w:eastAsia="it-IT"/>
        </w:rPr>
        <w:lastRenderedPageBreak/>
        <w:t xml:space="preserve">nuovo Codice Appalti sancisce espressamente l’inammissibilità della impugnazione della proposta di aggiudicazione di cui agli artt. 32 e 33 del medesimo d.lgs. n. 50 del 2016” (TAR Lazio, Roma, III 5 gennaio 2018 n. 107). </w:t>
      </w:r>
      <w:r w:rsidRPr="001839E3">
        <w:rPr>
          <w:rFonts w:ascii="Times New Roman" w:eastAsia="Times New Roman" w:hAnsi="Times New Roman" w:cs="Times New Roman"/>
          <w:color w:val="3D3B39"/>
          <w:lang w:eastAsia="it-IT"/>
        </w:rPr>
        <w:br/>
        <w:t xml:space="preserve">Pertanto se unico atto impugnabile è costituito dall’aggiudicazione le vicende relative alla proposta di aggiudicazione sono irrilevanti e come tali inidonee a fare decorrere il termine di impugnazione.  </w:t>
      </w:r>
      <w:r w:rsidRPr="001839E3">
        <w:rPr>
          <w:rFonts w:ascii="Times New Roman" w:eastAsia="Times New Roman" w:hAnsi="Times New Roman" w:cs="Times New Roman"/>
          <w:color w:val="3D3B39"/>
          <w:lang w:eastAsia="it-IT"/>
        </w:rPr>
        <w:br/>
        <w:t xml:space="preserve">Nel merito il ricorso è fondato. </w:t>
      </w:r>
      <w:r w:rsidRPr="001839E3">
        <w:rPr>
          <w:rFonts w:ascii="Times New Roman" w:eastAsia="Times New Roman" w:hAnsi="Times New Roman" w:cs="Times New Roman"/>
          <w:color w:val="3D3B39"/>
          <w:lang w:eastAsia="it-IT"/>
        </w:rPr>
        <w:br/>
        <w:t xml:space="preserve">La società AM Parking s.r.l. è stata oggetto, ai sensi dell’art. 40 d.lgs. 159/11, di sequestro preventivo d’urgenza 20 gennaio 2014 nell’ambito del procedimento RNR n. 17982/05. </w:t>
      </w:r>
      <w:r w:rsidRPr="001839E3">
        <w:rPr>
          <w:rFonts w:ascii="Times New Roman" w:eastAsia="Times New Roman" w:hAnsi="Times New Roman" w:cs="Times New Roman"/>
          <w:color w:val="3D3B39"/>
          <w:lang w:eastAsia="it-IT"/>
        </w:rPr>
        <w:br/>
        <w:t xml:space="preserve">In tale contesto è stato nominato un amministratore giudiziario ed è stato nominato anche l’amministratore della società nella persona del dott. Arcangelo Sessa.  </w:t>
      </w:r>
      <w:r w:rsidRPr="001839E3">
        <w:rPr>
          <w:rFonts w:ascii="Times New Roman" w:eastAsia="Times New Roman" w:hAnsi="Times New Roman" w:cs="Times New Roman"/>
          <w:color w:val="3D3B39"/>
          <w:lang w:eastAsia="it-IT"/>
        </w:rPr>
        <w:br/>
        <w:t xml:space="preserve">Deve preliminarmente rilevarsi come la partecipazione alla gare pubbliche non costituisca atto di straordinaria amministrazione rientrando nella gestione ordinaria dell’attività delle imprese.  </w:t>
      </w:r>
      <w:r w:rsidRPr="001839E3">
        <w:rPr>
          <w:rFonts w:ascii="Times New Roman" w:eastAsia="Times New Roman" w:hAnsi="Times New Roman" w:cs="Times New Roman"/>
          <w:color w:val="3D3B39"/>
          <w:lang w:eastAsia="it-IT"/>
        </w:rPr>
        <w:br/>
        <w:t xml:space="preserve">La partecipazione a procedure di gara da parte di impresa alla luce della dimensione della stessa e della circostanza che la società è stata costituita anche per ottenere l'affidamento di servizi, va considerata quale attività di ordinaria amministrazione. In tema di attività di impresa il criterio per distinguere gli atti di ordinaria e straordinaria amministrazione non può essere quello del carattere “conservativo” o meno dell'atto posto in essere (criterio valido, invece, di regola per l’amministrazione del patrimonio degli incapaci), in quanto quella imprenditoriale è attività che presuppone necessariamente il compimento di atti di disposizione di beni, con la conseguenza che l’indicata distinzione va fondata sulla relazione in cui l’atto si pone con la gestione “normale” (e quindi “ordinaria”) del tipo di impresa di cui si tratta e alle dimensioni in cui essa viene esercitata </w:t>
      </w:r>
      <w:r w:rsidRPr="001839E3">
        <w:rPr>
          <w:rFonts w:ascii="Times New Roman" w:eastAsia="Times New Roman" w:hAnsi="Times New Roman" w:cs="Times New Roman"/>
          <w:color w:val="3D3B39"/>
          <w:lang w:eastAsia="it-IT"/>
        </w:rPr>
        <w:br/>
        <w:t xml:space="preserve">(C.S. V 13 luglio 2006 n. 4415). </w:t>
      </w:r>
      <w:r w:rsidRPr="001839E3">
        <w:rPr>
          <w:rFonts w:ascii="Times New Roman" w:eastAsia="Times New Roman" w:hAnsi="Times New Roman" w:cs="Times New Roman"/>
          <w:color w:val="3D3B39"/>
          <w:lang w:eastAsia="it-IT"/>
        </w:rPr>
        <w:br/>
        <w:t xml:space="preserve">Pertanto la questione da risolvere in questa sede è se nello svolgimento delle attività di ordinaria amministrazione l’amministratore della società debba essere preventivamente autorizzato dall’amministratore giudiziario o meno. </w:t>
      </w:r>
      <w:r w:rsidRPr="001839E3">
        <w:rPr>
          <w:rFonts w:ascii="Times New Roman" w:eastAsia="Times New Roman" w:hAnsi="Times New Roman" w:cs="Times New Roman"/>
          <w:color w:val="3D3B39"/>
          <w:lang w:eastAsia="it-IT"/>
        </w:rPr>
        <w:br/>
        <w:t xml:space="preserve">La risposta non può che essere negativa. </w:t>
      </w:r>
      <w:r w:rsidRPr="001839E3">
        <w:rPr>
          <w:rFonts w:ascii="Times New Roman" w:eastAsia="Times New Roman" w:hAnsi="Times New Roman" w:cs="Times New Roman"/>
          <w:color w:val="3D3B39"/>
          <w:lang w:eastAsia="it-IT"/>
        </w:rPr>
        <w:br/>
        <w:t xml:space="preserve">Le norme utili alla soluzione della questione sono l’art. 35, comma 4, d.lgs. 159/11 che stabilisce: “4. L'amministratore giudiziario chiede al giudice delegato di essere autorizzato, ove necessario, a farsi coadiuvare, sotto la sua responsabilità, da tecnici o da altri soggetti qualificati. Ove la complessità della gestione lo richieda, anche successivamente al sequestro, l'amministratore giudiziario organizza, sotto la sua responsabilità, un proprio ufficio di </w:t>
      </w:r>
      <w:proofErr w:type="spellStart"/>
      <w:r w:rsidRPr="001839E3">
        <w:rPr>
          <w:rFonts w:ascii="Times New Roman" w:eastAsia="Times New Roman" w:hAnsi="Times New Roman" w:cs="Times New Roman"/>
          <w:color w:val="3D3B39"/>
          <w:lang w:eastAsia="it-IT"/>
        </w:rPr>
        <w:t>coadiuzione</w:t>
      </w:r>
      <w:proofErr w:type="spellEnd"/>
      <w:r w:rsidRPr="001839E3">
        <w:rPr>
          <w:rFonts w:ascii="Times New Roman" w:eastAsia="Times New Roman" w:hAnsi="Times New Roman" w:cs="Times New Roman"/>
          <w:color w:val="3D3B39"/>
          <w:lang w:eastAsia="it-IT"/>
        </w:rPr>
        <w:t xml:space="preserve">, la cui composizione e il cui assetto interno devono essere comunicati al giudice delegato indicando altresì se e quali incarichi analoghi abbiano in corso i coadiutori, assicurando la presenza, nel caso in cui si tratti dei beni di cui all'articolo 10 del codice dei beni culturali e del paesaggio, di cui al decreto legislativo 22 gennaio 2004, n. 42, di uno dei soggetti indicati nell'articolo 9-bis del medesimo codice. Il giudice delegato ne autorizza l'istituzione tenuto conto della natura dei beni e delle aziende in stato di sequestro e degli oneri che ne conseguono” e l’art. 40, comma 3 d.lgs. 159/11 che stabilisce: “L'amministratore giudiziario non può stare in giudizio né contrarre mutui, stipulare transazioni, compromessi, fideiussioni, concedere ipoteche, alienare immobili e compiere altri atti di straordinaria amministrazione, anche a tutela dei diritti dei terzi, senza autorizzazione scritta del giudice delegato”. </w:t>
      </w:r>
      <w:r w:rsidRPr="001839E3">
        <w:rPr>
          <w:rFonts w:ascii="Times New Roman" w:eastAsia="Times New Roman" w:hAnsi="Times New Roman" w:cs="Times New Roman"/>
          <w:color w:val="3D3B39"/>
          <w:lang w:eastAsia="it-IT"/>
        </w:rPr>
        <w:br/>
        <w:t xml:space="preserve">Pertanto la vigilanza diretta nella forma dell’atto complesso sull’attività dell’amministratore giudiziario è prevista solo nei casi di cui all’art. 40, comma 3, d.lgs. 159/11.  </w:t>
      </w:r>
      <w:r w:rsidRPr="001839E3">
        <w:rPr>
          <w:rFonts w:ascii="Times New Roman" w:eastAsia="Times New Roman" w:hAnsi="Times New Roman" w:cs="Times New Roman"/>
          <w:color w:val="3D3B39"/>
          <w:lang w:eastAsia="it-IT"/>
        </w:rPr>
        <w:br/>
        <w:t xml:space="preserve">Lo svolgimento dell’attività di ordinaria amministrazione invece è rimessa alla totale responsabilità dell’amministratore giudiziario che può svolgerla individualmente oppure avvalersi di ausiliari che dei quali risponde ai sensi dell’art. 35, comma 4, d.lgs. 159/11 e più in generale ai sensi dell’art. 1228 c.c. </w:t>
      </w:r>
      <w:r w:rsidRPr="001839E3">
        <w:rPr>
          <w:rFonts w:ascii="Times New Roman" w:eastAsia="Times New Roman" w:hAnsi="Times New Roman" w:cs="Times New Roman"/>
          <w:color w:val="3D3B39"/>
          <w:lang w:eastAsia="it-IT"/>
        </w:rPr>
        <w:br/>
        <w:t xml:space="preserve">La necessità di una esplicita autorizzazione dell’amministratore giudiziario rispetto agli atti di ordinaria amministrazione compiuti dai suoi ausiliari non è prevista positivamente da nessuna norma e non risponde ad alcuna esigenza di tutela che non risulti già soddisfatta dalla previsione del permanere della responsabilità in capo all’amministratore giudiziario. </w:t>
      </w:r>
      <w:r w:rsidRPr="001839E3">
        <w:rPr>
          <w:rFonts w:ascii="Times New Roman" w:eastAsia="Times New Roman" w:hAnsi="Times New Roman" w:cs="Times New Roman"/>
          <w:color w:val="3D3B39"/>
          <w:lang w:eastAsia="it-IT"/>
        </w:rPr>
        <w:br/>
        <w:t xml:space="preserve">Da altro punto di vista occorre rilevare come le limitazioni alla capacità di agire degli organi rappresentativi di una società devono risultare o dalla legge ovvero dall’atto costitutivo o dallo statuto. Nella specie nulla di tutto ciò è riscontrabile. </w:t>
      </w:r>
      <w:r w:rsidRPr="001839E3">
        <w:rPr>
          <w:rFonts w:ascii="Times New Roman" w:eastAsia="Times New Roman" w:hAnsi="Times New Roman" w:cs="Times New Roman"/>
          <w:color w:val="3D3B39"/>
          <w:lang w:eastAsia="it-IT"/>
        </w:rPr>
        <w:br/>
        <w:t xml:space="preserve">Da ulteriore punto di vista una volta ricompreso un determinato atto nel novero di quelli di ordinaria amministrazione non pare possibile, pena la sostanziale vanificazione dell’istituto della </w:t>
      </w:r>
      <w:proofErr w:type="spellStart"/>
      <w:r w:rsidRPr="001839E3">
        <w:rPr>
          <w:rFonts w:ascii="Times New Roman" w:eastAsia="Times New Roman" w:hAnsi="Times New Roman" w:cs="Times New Roman"/>
          <w:color w:val="3D3B39"/>
          <w:lang w:eastAsia="it-IT"/>
        </w:rPr>
        <w:t>coadiuzione</w:t>
      </w:r>
      <w:proofErr w:type="spellEnd"/>
      <w:r w:rsidRPr="001839E3">
        <w:rPr>
          <w:rFonts w:ascii="Times New Roman" w:eastAsia="Times New Roman" w:hAnsi="Times New Roman" w:cs="Times New Roman"/>
          <w:color w:val="3D3B39"/>
          <w:lang w:eastAsia="it-IT"/>
        </w:rPr>
        <w:t xml:space="preserve">, richiedere un preventivo assenso da parte dell’amministratore giudiziario. Costui, infatti, sarebbe obbligato ad approvare specificamente per iscritto il compimento di una miriade di atti in relazione dei quali, mediante la nomina di coadiutori, aveva manifestato l’impossibilità di occuparsi.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t xml:space="preserve">In conclusione l’imporre una specifica autorizzazione da parte dell’amministratore giudiziario si risolve in una inammissibile operazione di integrazione delle disposizioni legislative.  </w:t>
      </w:r>
      <w:r w:rsidRPr="001839E3">
        <w:rPr>
          <w:rFonts w:ascii="Times New Roman" w:eastAsia="Times New Roman" w:hAnsi="Times New Roman" w:cs="Times New Roman"/>
          <w:color w:val="3D3B39"/>
          <w:lang w:eastAsia="it-IT"/>
        </w:rPr>
        <w:br/>
        <w:t xml:space="preserve">Fondato si appalesa invece il secondo motivo di ricorso. </w:t>
      </w:r>
      <w:r w:rsidRPr="001839E3">
        <w:rPr>
          <w:rFonts w:ascii="Times New Roman" w:eastAsia="Times New Roman" w:hAnsi="Times New Roman" w:cs="Times New Roman"/>
          <w:color w:val="3D3B39"/>
          <w:lang w:eastAsia="it-IT"/>
        </w:rPr>
        <w:br/>
        <w:t xml:space="preserve">L’art. 4 del disciplinare stabiliva infatti che i concorrenti dovessero possedere almeno due dichiarazioni originali rilasciate da istituti bancari o intermediari autorizzati attestanti la solvibilità del concorrente in relazione all’affidamento (doc n. 2 </w:t>
      </w:r>
      <w:proofErr w:type="spellStart"/>
      <w:r w:rsidRPr="001839E3">
        <w:rPr>
          <w:rFonts w:ascii="Times New Roman" w:eastAsia="Times New Roman" w:hAnsi="Times New Roman" w:cs="Times New Roman"/>
          <w:color w:val="3D3B39"/>
          <w:lang w:eastAsia="it-IT"/>
        </w:rPr>
        <w:t>prod</w:t>
      </w:r>
      <w:proofErr w:type="spellEnd"/>
      <w:r w:rsidRPr="001839E3">
        <w:rPr>
          <w:rFonts w:ascii="Times New Roman" w:eastAsia="Times New Roman" w:hAnsi="Times New Roman" w:cs="Times New Roman"/>
          <w:color w:val="3D3B39"/>
          <w:lang w:eastAsia="it-IT"/>
        </w:rPr>
        <w:t xml:space="preserve">. ricorrente 11 dicembre 2017). </w:t>
      </w:r>
      <w:r w:rsidRPr="001839E3">
        <w:rPr>
          <w:rFonts w:ascii="Times New Roman" w:eastAsia="Times New Roman" w:hAnsi="Times New Roman" w:cs="Times New Roman"/>
          <w:color w:val="3D3B39"/>
          <w:lang w:eastAsia="it-IT"/>
        </w:rPr>
        <w:br/>
        <w:t xml:space="preserve">La referenza rilasciata dalla filiale di Nola della BPM è invece del tutto generica limitandosi ad attestare che la società AM Parking intrattiene rapporti con l’istituto bancario dal 2012 (doc n. 14 </w:t>
      </w:r>
      <w:proofErr w:type="spellStart"/>
      <w:r w:rsidRPr="001839E3">
        <w:rPr>
          <w:rFonts w:ascii="Times New Roman" w:eastAsia="Times New Roman" w:hAnsi="Times New Roman" w:cs="Times New Roman"/>
          <w:color w:val="3D3B39"/>
          <w:lang w:eastAsia="it-IT"/>
        </w:rPr>
        <w:t>prod</w:t>
      </w:r>
      <w:proofErr w:type="spellEnd"/>
      <w:r w:rsidRPr="001839E3">
        <w:rPr>
          <w:rFonts w:ascii="Times New Roman" w:eastAsia="Times New Roman" w:hAnsi="Times New Roman" w:cs="Times New Roman"/>
          <w:color w:val="3D3B39"/>
          <w:lang w:eastAsia="it-IT"/>
        </w:rPr>
        <w:t xml:space="preserve">. ricorrente 11 dicembre 2017). </w:t>
      </w:r>
      <w:r w:rsidRPr="001839E3">
        <w:rPr>
          <w:rFonts w:ascii="Times New Roman" w:eastAsia="Times New Roman" w:hAnsi="Times New Roman" w:cs="Times New Roman"/>
          <w:color w:val="3D3B39"/>
          <w:lang w:eastAsia="it-IT"/>
        </w:rPr>
        <w:br/>
        <w:t xml:space="preserve">Si tratta all’evidenza di una referenza non conforme alla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dal momento che non fa riferimento alla solvibilità del concorrente in relazione all’oggetto dell’appalto.  </w:t>
      </w:r>
      <w:r w:rsidRPr="001839E3">
        <w:rPr>
          <w:rFonts w:ascii="Times New Roman" w:eastAsia="Times New Roman" w:hAnsi="Times New Roman" w:cs="Times New Roman"/>
          <w:color w:val="3D3B39"/>
          <w:lang w:eastAsia="it-IT"/>
        </w:rPr>
        <w:br/>
        <w:t xml:space="preserve">La ASL n. 2 sostiene che l’eventuale carenza avrebbe potuto essere sanata con il soccorso istruttorio. </w:t>
      </w:r>
      <w:r w:rsidRPr="001839E3">
        <w:rPr>
          <w:rFonts w:ascii="Times New Roman" w:eastAsia="Times New Roman" w:hAnsi="Times New Roman" w:cs="Times New Roman"/>
          <w:color w:val="3D3B39"/>
          <w:lang w:eastAsia="it-IT"/>
        </w:rPr>
        <w:br/>
        <w:t xml:space="preserve">Tale osservazione, in sé corretta, non preclude al Collegio l’esame della censura ed il suo positivo scrutinio, spettando eventualmente alla stazione appaltante riconvocare il seggio di gara al fine di porre in essere il soccorso istruttorio. La possibilità di ricorrere al soccorso istruttorio, in assenza di positiva dimostrazione in giudizio dell’esito favorevole al concorrente, non vale a costituire una sanatoria generalizzata dei difetti della documentazione di gara. </w:t>
      </w:r>
      <w:r w:rsidRPr="001839E3">
        <w:rPr>
          <w:rFonts w:ascii="Times New Roman" w:eastAsia="Times New Roman" w:hAnsi="Times New Roman" w:cs="Times New Roman"/>
          <w:color w:val="3D3B39"/>
          <w:lang w:eastAsia="it-IT"/>
        </w:rPr>
        <w:br/>
        <w:t xml:space="preserve">Per quanto attiene alla capacità tecnica l’art. 4 del disciplinare prevedeva la dimostrazione di avere gestito servizi analoghi consistenti nella gestione di sosta a pagamento “nel triennio 2014 – 2015 – 2016 per un numero di stalli in superficie in parcheggi a barriere con pagamento automatizzato non inferiore a 500 (cinquecento) in ragione annua per i tre anni consecutivi indicando l’ente concedente e le date di inizio e fine del servizio”.  </w:t>
      </w:r>
      <w:r w:rsidRPr="001839E3">
        <w:rPr>
          <w:rFonts w:ascii="Times New Roman" w:eastAsia="Times New Roman" w:hAnsi="Times New Roman" w:cs="Times New Roman"/>
          <w:color w:val="3D3B39"/>
          <w:lang w:eastAsia="it-IT"/>
        </w:rPr>
        <w:br/>
        <w:t xml:space="preserve">Orbene dalla dichiarazione 14 luglio 2017 resa dalla AM Parking s.r.l. e dai riscontri operati dalla stazione appaltante non si evince il possesso dei requisiti di cui sopra.  </w:t>
      </w:r>
      <w:r w:rsidRPr="001839E3">
        <w:rPr>
          <w:rFonts w:ascii="Times New Roman" w:eastAsia="Times New Roman" w:hAnsi="Times New Roman" w:cs="Times New Roman"/>
          <w:color w:val="3D3B39"/>
          <w:lang w:eastAsia="it-IT"/>
        </w:rPr>
        <w:br/>
        <w:t xml:space="preserve">Deve infatti rilevarsi come, per quanto riguarda gli stalli gestiti per conto di </w:t>
      </w:r>
      <w:proofErr w:type="spellStart"/>
      <w:r w:rsidRPr="001839E3">
        <w:rPr>
          <w:rFonts w:ascii="Times New Roman" w:eastAsia="Times New Roman" w:hAnsi="Times New Roman" w:cs="Times New Roman"/>
          <w:color w:val="3D3B39"/>
          <w:lang w:eastAsia="it-IT"/>
        </w:rPr>
        <w:t>Metropark</w:t>
      </w:r>
      <w:proofErr w:type="spellEnd"/>
      <w:r w:rsidRPr="001839E3">
        <w:rPr>
          <w:rFonts w:ascii="Times New Roman" w:eastAsia="Times New Roman" w:hAnsi="Times New Roman" w:cs="Times New Roman"/>
          <w:color w:val="3D3B39"/>
          <w:lang w:eastAsia="it-IT"/>
        </w:rPr>
        <w:t xml:space="preserve"> quest’ultima società abbia dichiarato come l’AM Parking s.r.l. abbia erogato in qualità di associato servizi connessi alla gestione della sosta per un fatturato nel periodo 24 giugno 2010 – 30 giugno 2017 </w:t>
      </w:r>
      <w:r w:rsidRPr="001839E3">
        <w:rPr>
          <w:rFonts w:ascii="Times New Roman" w:eastAsia="Times New Roman" w:hAnsi="Times New Roman" w:cs="Times New Roman"/>
          <w:color w:val="3D3B39"/>
          <w:lang w:eastAsia="it-IT"/>
        </w:rPr>
        <w:br/>
        <w:t xml:space="preserve">di €. 6479812 per un totale di stalli pari a 1565 (doc n. 16 </w:t>
      </w:r>
      <w:proofErr w:type="spellStart"/>
      <w:r w:rsidRPr="001839E3">
        <w:rPr>
          <w:rFonts w:ascii="Times New Roman" w:eastAsia="Times New Roman" w:hAnsi="Times New Roman" w:cs="Times New Roman"/>
          <w:color w:val="3D3B39"/>
          <w:lang w:eastAsia="it-IT"/>
        </w:rPr>
        <w:t>prod</w:t>
      </w:r>
      <w:proofErr w:type="spellEnd"/>
      <w:r w:rsidRPr="001839E3">
        <w:rPr>
          <w:rFonts w:ascii="Times New Roman" w:eastAsia="Times New Roman" w:hAnsi="Times New Roman" w:cs="Times New Roman"/>
          <w:color w:val="3D3B39"/>
          <w:lang w:eastAsia="it-IT"/>
        </w:rPr>
        <w:t xml:space="preserve">. ricorrente 11 dicembre 2017). </w:t>
      </w:r>
      <w:r w:rsidRPr="001839E3">
        <w:rPr>
          <w:rFonts w:ascii="Times New Roman" w:eastAsia="Times New Roman" w:hAnsi="Times New Roman" w:cs="Times New Roman"/>
          <w:color w:val="3D3B39"/>
          <w:lang w:eastAsia="it-IT"/>
        </w:rPr>
        <w:br/>
        <w:t xml:space="preserve">Tale dichiarazione non comprova il possesso dei requisiti in quanto non attesta la gestione della sosta a pagamento ma soltanto lo svolgimento peraltro in qualità di associato servizi connessi alla gestione della sosta. </w:t>
      </w:r>
      <w:r w:rsidRPr="001839E3">
        <w:rPr>
          <w:rFonts w:ascii="Times New Roman" w:eastAsia="Times New Roman" w:hAnsi="Times New Roman" w:cs="Times New Roman"/>
          <w:color w:val="3D3B39"/>
          <w:lang w:eastAsia="it-IT"/>
        </w:rPr>
        <w:br/>
        <w:t xml:space="preserve">Una volta esclusi gli stalli gestiti per conto di </w:t>
      </w:r>
      <w:proofErr w:type="spellStart"/>
      <w:r w:rsidRPr="001839E3">
        <w:rPr>
          <w:rFonts w:ascii="Times New Roman" w:eastAsia="Times New Roman" w:hAnsi="Times New Roman" w:cs="Times New Roman"/>
          <w:color w:val="3D3B39"/>
          <w:lang w:eastAsia="it-IT"/>
        </w:rPr>
        <w:t>Metropark</w:t>
      </w:r>
      <w:proofErr w:type="spellEnd"/>
      <w:r w:rsidRPr="001839E3">
        <w:rPr>
          <w:rFonts w:ascii="Times New Roman" w:eastAsia="Times New Roman" w:hAnsi="Times New Roman" w:cs="Times New Roman"/>
          <w:color w:val="3D3B39"/>
          <w:lang w:eastAsia="it-IT"/>
        </w:rPr>
        <w:t xml:space="preserve"> ed esclusi gli stalli gestiti in regime di non automazione ci si avvede della circostanza che la aggiudicataria non abbia gestito alcuno stallo nell’anno 2015. Se poi ulteriormente si considera che il Comune di Nola non ha ottemperato alle richieste della ASL n.2 si deve concludere per la mancata dimostrazione dello svolgimento di servizi analoghi anche nell’anno 2014.  </w:t>
      </w:r>
      <w:r w:rsidRPr="001839E3">
        <w:rPr>
          <w:rFonts w:ascii="Times New Roman" w:eastAsia="Times New Roman" w:hAnsi="Times New Roman" w:cs="Times New Roman"/>
          <w:color w:val="3D3B39"/>
          <w:lang w:eastAsia="it-IT"/>
        </w:rPr>
        <w:br/>
        <w:t xml:space="preserve">Ne consegue la mancata dimostrazione del possesso dei requisiti. </w:t>
      </w:r>
      <w:r w:rsidRPr="001839E3">
        <w:rPr>
          <w:rFonts w:ascii="Times New Roman" w:eastAsia="Times New Roman" w:hAnsi="Times New Roman" w:cs="Times New Roman"/>
          <w:color w:val="3D3B39"/>
          <w:lang w:eastAsia="it-IT"/>
        </w:rPr>
        <w:br/>
        <w:t xml:space="preserve">Il ricorso deve essere accolto con conseguente annullamento dei provvedimenti impugnati. </w:t>
      </w:r>
      <w:r w:rsidRPr="001839E3">
        <w:rPr>
          <w:rFonts w:ascii="Times New Roman" w:eastAsia="Times New Roman" w:hAnsi="Times New Roman" w:cs="Times New Roman"/>
          <w:color w:val="3D3B39"/>
          <w:lang w:eastAsia="it-IT"/>
        </w:rPr>
        <w:br/>
        <w:t xml:space="preserve">L’accoglimento della domanda cautelare esclude la sussistenza di profili di danno risarcibile. </w:t>
      </w:r>
      <w:r w:rsidRPr="001839E3">
        <w:rPr>
          <w:rFonts w:ascii="Times New Roman" w:eastAsia="Times New Roman" w:hAnsi="Times New Roman" w:cs="Times New Roman"/>
          <w:color w:val="3D3B39"/>
          <w:lang w:eastAsia="it-IT"/>
        </w:rPr>
        <w:br/>
        <w:t xml:space="preserve">Le spese seguono la soccombenza.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P.Q.M.</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Il Tribunale Amministrativo Regionale per la Liguria (Sezione Seconda), definitivamente pronunciando sul ricorso, come in epigrafe proposto, lo accoglie e per l’effetto annulla i provvedimenti impugnati.  </w:t>
      </w:r>
      <w:r w:rsidRPr="001839E3">
        <w:rPr>
          <w:rFonts w:ascii="Times New Roman" w:eastAsia="Times New Roman" w:hAnsi="Times New Roman" w:cs="Times New Roman"/>
          <w:color w:val="3D3B39"/>
          <w:lang w:eastAsia="it-IT"/>
        </w:rPr>
        <w:br/>
        <w:t xml:space="preserve">Condanna l’amministrazione resistente al pagamento, in favore della ricorrente, delle spese di giudizio che si liquidano in complessivi €. 4000, 00 (quattromila/00) oltre IVA e CPA come per legge.  </w:t>
      </w:r>
      <w:r w:rsidRPr="001839E3">
        <w:rPr>
          <w:rFonts w:ascii="Times New Roman" w:eastAsia="Times New Roman" w:hAnsi="Times New Roman" w:cs="Times New Roman"/>
          <w:color w:val="3D3B39"/>
          <w:lang w:eastAsia="it-IT"/>
        </w:rPr>
        <w:br/>
        <w:t xml:space="preserve">Ordina che la presente sentenza sia eseguita dall'autorità amministrativa. </w:t>
      </w:r>
      <w:r w:rsidRPr="001839E3">
        <w:rPr>
          <w:rFonts w:ascii="Times New Roman" w:eastAsia="Times New Roman" w:hAnsi="Times New Roman" w:cs="Times New Roman"/>
          <w:color w:val="3D3B39"/>
          <w:lang w:eastAsia="it-IT"/>
        </w:rPr>
        <w:br/>
        <w:t xml:space="preserve">Così deciso in Genova nella camera di consiglio del giorno 18 aprile 2018 con l'intervento dei magistrati: </w:t>
      </w:r>
      <w:r w:rsidRPr="001839E3">
        <w:rPr>
          <w:rFonts w:ascii="Times New Roman" w:eastAsia="Times New Roman" w:hAnsi="Times New Roman" w:cs="Times New Roman"/>
          <w:color w:val="3D3B39"/>
          <w:lang w:eastAsia="it-IT"/>
        </w:rPr>
        <w:br/>
        <w:t xml:space="preserve">Roberto </w:t>
      </w:r>
      <w:proofErr w:type="spellStart"/>
      <w:r w:rsidRPr="001839E3">
        <w:rPr>
          <w:rFonts w:ascii="Times New Roman" w:eastAsia="Times New Roman" w:hAnsi="Times New Roman" w:cs="Times New Roman"/>
          <w:color w:val="3D3B39"/>
          <w:lang w:eastAsia="it-IT"/>
        </w:rPr>
        <w:t>Pupilella</w:t>
      </w:r>
      <w:proofErr w:type="spellEnd"/>
      <w:r w:rsidRPr="001839E3">
        <w:rPr>
          <w:rFonts w:ascii="Times New Roman" w:eastAsia="Times New Roman" w:hAnsi="Times New Roman" w:cs="Times New Roman"/>
          <w:color w:val="3D3B39"/>
          <w:lang w:eastAsia="it-IT"/>
        </w:rPr>
        <w:t xml:space="preserve">, Presidente </w:t>
      </w:r>
      <w:r w:rsidRPr="001839E3">
        <w:rPr>
          <w:rFonts w:ascii="Times New Roman" w:eastAsia="Times New Roman" w:hAnsi="Times New Roman" w:cs="Times New Roman"/>
          <w:color w:val="3D3B39"/>
          <w:lang w:eastAsia="it-IT"/>
        </w:rPr>
        <w:br/>
        <w:t xml:space="preserve">Luca </w:t>
      </w:r>
      <w:proofErr w:type="spellStart"/>
      <w:r w:rsidRPr="001839E3">
        <w:rPr>
          <w:rFonts w:ascii="Times New Roman" w:eastAsia="Times New Roman" w:hAnsi="Times New Roman" w:cs="Times New Roman"/>
          <w:color w:val="3D3B39"/>
          <w:lang w:eastAsia="it-IT"/>
        </w:rPr>
        <w:t>Morbelli</w:t>
      </w:r>
      <w:proofErr w:type="spellEnd"/>
      <w:r w:rsidRPr="001839E3">
        <w:rPr>
          <w:rFonts w:ascii="Times New Roman" w:eastAsia="Times New Roman" w:hAnsi="Times New Roman" w:cs="Times New Roman"/>
          <w:color w:val="3D3B39"/>
          <w:lang w:eastAsia="it-IT"/>
        </w:rPr>
        <w:t xml:space="preserve">, Consigliere, Estensore </w:t>
      </w:r>
      <w:r w:rsidRPr="001839E3">
        <w:rPr>
          <w:rFonts w:ascii="Times New Roman" w:eastAsia="Times New Roman" w:hAnsi="Times New Roman" w:cs="Times New Roman"/>
          <w:color w:val="3D3B39"/>
          <w:lang w:eastAsia="it-IT"/>
        </w:rPr>
        <w:br/>
        <w:t xml:space="preserve">Angelo Vitali, Consigliere </w:t>
      </w: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1839E3" w:rsidRDefault="001839E3" w:rsidP="001839E3">
      <w:pPr>
        <w:spacing w:after="265" w:line="240" w:lineRule="auto"/>
        <w:jc w:val="right"/>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lastRenderedPageBreak/>
        <w:t>N. 00492/2018 REG.PROV.COLL.</w:t>
      </w:r>
      <w:r w:rsidRPr="001839E3">
        <w:rPr>
          <w:rFonts w:ascii="Times New Roman" w:eastAsia="Times New Roman" w:hAnsi="Times New Roman" w:cs="Times New Roman"/>
          <w:color w:val="3D3B39"/>
          <w:lang w:eastAsia="it-IT"/>
        </w:rPr>
        <w:br/>
        <w:t>N. 00185/2018 REG.RIC.</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REPUBBLICA ITALIANA</w:t>
      </w:r>
      <w:r w:rsidRPr="001839E3">
        <w:rPr>
          <w:rFonts w:ascii="Times New Roman" w:eastAsia="Times New Roman" w:hAnsi="Times New Roman" w:cs="Times New Roman"/>
          <w:color w:val="3D3B39"/>
          <w:lang w:eastAsia="it-IT"/>
        </w:rPr>
        <w:br/>
        <w:t>IN NOME DEL POPOLO ITALIANO</w:t>
      </w:r>
      <w:r w:rsidRPr="001839E3">
        <w:rPr>
          <w:rFonts w:ascii="Times New Roman" w:eastAsia="Times New Roman" w:hAnsi="Times New Roman" w:cs="Times New Roman"/>
          <w:color w:val="3D3B39"/>
          <w:lang w:eastAsia="it-IT"/>
        </w:rPr>
        <w:br/>
        <w:t>Il Tribunale Amministrativo Regionale per la Sardegna</w:t>
      </w:r>
      <w:r w:rsidRPr="001839E3">
        <w:rPr>
          <w:rFonts w:ascii="Times New Roman" w:eastAsia="Times New Roman" w:hAnsi="Times New Roman" w:cs="Times New Roman"/>
          <w:color w:val="3D3B39"/>
          <w:lang w:eastAsia="it-IT"/>
        </w:rPr>
        <w:br/>
        <w:t>(Sezione Prima)</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ha pronunciato la presente</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SENTENZA</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ex art. 60 cod. </w:t>
      </w:r>
      <w:proofErr w:type="spellStart"/>
      <w:r w:rsidRPr="001839E3">
        <w:rPr>
          <w:rFonts w:ascii="Times New Roman" w:eastAsia="Times New Roman" w:hAnsi="Times New Roman" w:cs="Times New Roman"/>
          <w:color w:val="3D3B39"/>
          <w:lang w:eastAsia="it-IT"/>
        </w:rPr>
        <w:t>proc</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amm</w:t>
      </w:r>
      <w:proofErr w:type="spellEnd"/>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sul ricorso numero di registro generale 185 del 2018, proposto da: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s.a.s. di Mameli Maria Ignazia e C., rappresentata e difesa dagli avvocati Marcello Vignolo, Massimo Massa e Marco </w:t>
      </w:r>
      <w:proofErr w:type="spellStart"/>
      <w:r w:rsidRPr="001839E3">
        <w:rPr>
          <w:rFonts w:ascii="Times New Roman" w:eastAsia="Times New Roman" w:hAnsi="Times New Roman" w:cs="Times New Roman"/>
          <w:color w:val="3D3B39"/>
          <w:lang w:eastAsia="it-IT"/>
        </w:rPr>
        <w:t>Galleri</w:t>
      </w:r>
      <w:proofErr w:type="spellEnd"/>
      <w:r w:rsidRPr="001839E3">
        <w:rPr>
          <w:rFonts w:ascii="Times New Roman" w:eastAsia="Times New Roman" w:hAnsi="Times New Roman" w:cs="Times New Roman"/>
          <w:color w:val="3D3B39"/>
          <w:lang w:eastAsia="it-IT"/>
        </w:rPr>
        <w:t xml:space="preserve">, con domicilio eletto presso lo studio dei primi, in Cagliari, piazza del Carmine n. 22; </w:t>
      </w:r>
      <w:r w:rsidRPr="001839E3">
        <w:rPr>
          <w:rFonts w:ascii="Times New Roman" w:eastAsia="Times New Roman" w:hAnsi="Times New Roman" w:cs="Times New Roman"/>
          <w:color w:val="3D3B39"/>
          <w:lang w:eastAsia="it-IT"/>
        </w:rPr>
        <w:br/>
        <w:t>contro</w:t>
      </w:r>
      <w:r w:rsidRPr="001839E3">
        <w:rPr>
          <w:rFonts w:ascii="Times New Roman" w:eastAsia="Times New Roman" w:hAnsi="Times New Roman" w:cs="Times New Roman"/>
          <w:color w:val="3D3B39"/>
          <w:lang w:eastAsia="it-IT"/>
        </w:rPr>
        <w:br/>
        <w:t xml:space="preserve">Comune di Siliqua, rappresentato e difeso dall'avvocato Flaviano Lai, con domicilio eletto presso il suo studio in Cagliari, via </w:t>
      </w:r>
      <w:proofErr w:type="spellStart"/>
      <w:r w:rsidRPr="001839E3">
        <w:rPr>
          <w:rFonts w:ascii="Times New Roman" w:eastAsia="Times New Roman" w:hAnsi="Times New Roman" w:cs="Times New Roman"/>
          <w:color w:val="3D3B39"/>
          <w:lang w:eastAsia="it-IT"/>
        </w:rPr>
        <w:t>Alagon</w:t>
      </w:r>
      <w:proofErr w:type="spellEnd"/>
      <w:r w:rsidRPr="001839E3">
        <w:rPr>
          <w:rFonts w:ascii="Times New Roman" w:eastAsia="Times New Roman" w:hAnsi="Times New Roman" w:cs="Times New Roman"/>
          <w:color w:val="3D3B39"/>
          <w:lang w:eastAsia="it-IT"/>
        </w:rPr>
        <w:t xml:space="preserve"> n. 1; </w:t>
      </w:r>
      <w:r w:rsidRPr="001839E3">
        <w:rPr>
          <w:rFonts w:ascii="Times New Roman" w:eastAsia="Times New Roman" w:hAnsi="Times New Roman" w:cs="Times New Roman"/>
          <w:color w:val="3D3B39"/>
          <w:lang w:eastAsia="it-IT"/>
        </w:rPr>
        <w:br/>
        <w:t>nei confronti</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So.Se.Bi</w:t>
      </w:r>
      <w:proofErr w:type="spellEnd"/>
      <w:r w:rsidRPr="001839E3">
        <w:rPr>
          <w:rFonts w:ascii="Times New Roman" w:eastAsia="Times New Roman" w:hAnsi="Times New Roman" w:cs="Times New Roman"/>
          <w:color w:val="3D3B39"/>
          <w:lang w:eastAsia="it-IT"/>
        </w:rPr>
        <w:t xml:space="preserve"> s.r.l., non costituita in giudizio; </w:t>
      </w:r>
      <w:r w:rsidRPr="001839E3">
        <w:rPr>
          <w:rFonts w:ascii="Times New Roman" w:eastAsia="Times New Roman" w:hAnsi="Times New Roman" w:cs="Times New Roman"/>
          <w:color w:val="3D3B39"/>
          <w:lang w:eastAsia="it-IT"/>
        </w:rPr>
        <w:br/>
        <w:t>per l'annullamento, previa sospensione dell'efficacia:</w:t>
      </w:r>
      <w:r w:rsidRPr="001839E3">
        <w:rPr>
          <w:rFonts w:ascii="Times New Roman" w:eastAsia="Times New Roman" w:hAnsi="Times New Roman" w:cs="Times New Roman"/>
          <w:color w:val="3D3B39"/>
          <w:lang w:eastAsia="it-IT"/>
        </w:rPr>
        <w:br/>
        <w:t xml:space="preserve">- della determinazione n. 20 del 16 gennaio 2018 (n. 32 reg. gen.) con cui il responsabile del Servizio socioassistenziale del Comune di Siliqua ha aggiudicato alla </w:t>
      </w:r>
      <w:proofErr w:type="spellStart"/>
      <w:r w:rsidRPr="001839E3">
        <w:rPr>
          <w:rFonts w:ascii="Times New Roman" w:eastAsia="Times New Roman" w:hAnsi="Times New Roman" w:cs="Times New Roman"/>
          <w:color w:val="3D3B39"/>
          <w:lang w:eastAsia="it-IT"/>
        </w:rPr>
        <w:t>So.Se.Bi</w:t>
      </w:r>
      <w:proofErr w:type="spellEnd"/>
      <w:r w:rsidRPr="001839E3">
        <w:rPr>
          <w:rFonts w:ascii="Times New Roman" w:eastAsia="Times New Roman" w:hAnsi="Times New Roman" w:cs="Times New Roman"/>
          <w:color w:val="3D3B39"/>
          <w:lang w:eastAsia="it-IT"/>
        </w:rPr>
        <w:t>. s.r.l. il servizio di gestione della biblioteca comunale per il periodo dall’1.2.2018 al 31.1.2019;</w:t>
      </w:r>
      <w:r w:rsidRPr="001839E3">
        <w:rPr>
          <w:rFonts w:ascii="Times New Roman" w:eastAsia="Times New Roman" w:hAnsi="Times New Roman" w:cs="Times New Roman"/>
          <w:color w:val="3D3B39"/>
          <w:lang w:eastAsia="it-IT"/>
        </w:rPr>
        <w:br/>
        <w:t>e per la declaratoria d'inefficacia:</w:t>
      </w:r>
      <w:r w:rsidRPr="001839E3">
        <w:rPr>
          <w:rFonts w:ascii="Times New Roman" w:eastAsia="Times New Roman" w:hAnsi="Times New Roman" w:cs="Times New Roman"/>
          <w:color w:val="3D3B39"/>
          <w:lang w:eastAsia="it-IT"/>
        </w:rPr>
        <w:br/>
        <w:t>- del contratto sottoscritto nelle more del giudizio, con subentro della ricorrente nel medesimo;</w:t>
      </w:r>
      <w:r w:rsidRPr="001839E3">
        <w:rPr>
          <w:rFonts w:ascii="Times New Roman" w:eastAsia="Times New Roman" w:hAnsi="Times New Roman" w:cs="Times New Roman"/>
          <w:color w:val="3D3B39"/>
          <w:lang w:eastAsia="it-IT"/>
        </w:rPr>
        <w:br/>
        <w:t xml:space="preserve">con riserva d'agire per l'integrale risarcimento dei danni cagionati alla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s.a.s. dall'eventuale esecuzione dei provvedimenti amministrativi impugnati, qualora non sia possibile il risarcimento in forma specifica mediante l'affidamento del servizio messo in gara per l'intero periodo previsto.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Visti il ricorso e i relativi allegati.</w:t>
      </w:r>
      <w:r w:rsidRPr="001839E3">
        <w:rPr>
          <w:rFonts w:ascii="Times New Roman" w:eastAsia="Times New Roman" w:hAnsi="Times New Roman" w:cs="Times New Roman"/>
          <w:color w:val="3D3B39"/>
          <w:lang w:eastAsia="it-IT"/>
        </w:rPr>
        <w:br/>
        <w:t>Visto l'atto di costituzione in giudizio del Comune di Siliqua.</w:t>
      </w:r>
      <w:r w:rsidRPr="001839E3">
        <w:rPr>
          <w:rFonts w:ascii="Times New Roman" w:eastAsia="Times New Roman" w:hAnsi="Times New Roman" w:cs="Times New Roman"/>
          <w:color w:val="3D3B39"/>
          <w:lang w:eastAsia="it-IT"/>
        </w:rPr>
        <w:br/>
        <w:t>Viste le memorie difensive.</w:t>
      </w:r>
      <w:r w:rsidRPr="001839E3">
        <w:rPr>
          <w:rFonts w:ascii="Times New Roman" w:eastAsia="Times New Roman" w:hAnsi="Times New Roman" w:cs="Times New Roman"/>
          <w:color w:val="3D3B39"/>
          <w:lang w:eastAsia="it-IT"/>
        </w:rPr>
        <w:br/>
        <w:t>Visti tutti gli atti della causa.</w:t>
      </w:r>
      <w:r w:rsidRPr="001839E3">
        <w:rPr>
          <w:rFonts w:ascii="Times New Roman" w:eastAsia="Times New Roman" w:hAnsi="Times New Roman" w:cs="Times New Roman"/>
          <w:color w:val="3D3B39"/>
          <w:lang w:eastAsia="it-IT"/>
        </w:rPr>
        <w:br/>
        <w:t xml:space="preserve">Relatore nella camera di consiglio del giorno 4 aprile 2018 il dott. Antonio </w:t>
      </w:r>
      <w:proofErr w:type="spellStart"/>
      <w:r w:rsidRPr="001839E3">
        <w:rPr>
          <w:rFonts w:ascii="Times New Roman" w:eastAsia="Times New Roman" w:hAnsi="Times New Roman" w:cs="Times New Roman"/>
          <w:color w:val="3D3B39"/>
          <w:lang w:eastAsia="it-IT"/>
        </w:rPr>
        <w:t>Plaisant</w:t>
      </w:r>
      <w:proofErr w:type="spellEnd"/>
      <w:r w:rsidRPr="001839E3">
        <w:rPr>
          <w:rFonts w:ascii="Times New Roman" w:eastAsia="Times New Roman" w:hAnsi="Times New Roman" w:cs="Times New Roman"/>
          <w:color w:val="3D3B39"/>
          <w:lang w:eastAsia="it-IT"/>
        </w:rPr>
        <w:t xml:space="preserve"> e uditi per le parti i difensori come specificato nel verbale.</w:t>
      </w:r>
      <w:r w:rsidRPr="001839E3">
        <w:rPr>
          <w:rFonts w:ascii="Times New Roman" w:eastAsia="Times New Roman" w:hAnsi="Times New Roman" w:cs="Times New Roman"/>
          <w:color w:val="3D3B39"/>
          <w:lang w:eastAsia="it-IT"/>
        </w:rPr>
        <w:br/>
        <w:t xml:space="preserve">Sentite le stesse parti ai sensi dell'art. 60 cod. </w:t>
      </w:r>
      <w:proofErr w:type="spellStart"/>
      <w:r w:rsidRPr="001839E3">
        <w:rPr>
          <w:rFonts w:ascii="Times New Roman" w:eastAsia="Times New Roman" w:hAnsi="Times New Roman" w:cs="Times New Roman"/>
          <w:color w:val="3D3B39"/>
          <w:lang w:eastAsia="it-IT"/>
        </w:rPr>
        <w:t>proc</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amm</w:t>
      </w:r>
      <w:proofErr w:type="spellEnd"/>
      <w:r w:rsidRPr="001839E3">
        <w:rPr>
          <w:rFonts w:ascii="Times New Roman" w:eastAsia="Times New Roman" w:hAnsi="Times New Roman" w:cs="Times New Roman"/>
          <w:color w:val="3D3B39"/>
          <w:lang w:eastAsia="it-IT"/>
        </w:rPr>
        <w:t>.</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In data 26 ottobre 2017 il Comune di Siliqua aveva pubblicato un avviso per la manifestazione di interesse alla partecipazione a una procedura negoziata -da svolgersi ai sensi dell’art. 36 del d.lgs. 18 aprile 2016, n. 50- per l’affidamento del servizio di gestione della biblioteca comunale, con durata dall’1 febbraio 2018 al 31 gennaio 2019 e importo a base di gara pari a euro 25.300 (esente IVA); nell’avviso si specificava espressamente, da un lato che, lo stesso </w:t>
      </w:r>
      <w:r w:rsidRPr="001839E3">
        <w:rPr>
          <w:rFonts w:ascii="Times New Roman" w:eastAsia="Times New Roman" w:hAnsi="Times New Roman" w:cs="Times New Roman"/>
          <w:i/>
          <w:iCs/>
          <w:color w:val="3D3B39"/>
          <w:lang w:eastAsia="it-IT"/>
        </w:rPr>
        <w:t>“non costituisce avvio di procedura di gara pubblica né proposta contrattuale ma è pubblicato al solo scopo dell’esecuzione di indagine di mercato”</w:t>
      </w:r>
      <w:r w:rsidRPr="001839E3">
        <w:rPr>
          <w:rFonts w:ascii="Times New Roman" w:eastAsia="Times New Roman" w:hAnsi="Times New Roman" w:cs="Times New Roman"/>
          <w:color w:val="3D3B39"/>
          <w:lang w:eastAsia="it-IT"/>
        </w:rPr>
        <w:t xml:space="preserve"> e, dall’altro lato, che l’affidamento del servizio sarebbe poi avvenuto </w:t>
      </w:r>
      <w:r w:rsidRPr="001839E3">
        <w:rPr>
          <w:rFonts w:ascii="Times New Roman" w:eastAsia="Times New Roman" w:hAnsi="Times New Roman" w:cs="Times New Roman"/>
          <w:i/>
          <w:iCs/>
          <w:color w:val="3D3B39"/>
          <w:lang w:eastAsia="it-IT"/>
        </w:rPr>
        <w:t>“sulla base di un confronto tra le proposte sulla base dei servizi offerti e dell’offerta economica”.</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Acquisita la manifestazione di interesse di quattro imprese -tra cui il gestore uscente del servizio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s.a.s. (da qui in poi soltanto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il Responsabile del Settore Socio-assistenziale, con determinazione 19 dicembre 2017, n. 232, aveva deciso di invitarle tutte e quattro, richiamando espressamente il capoverso 3.3.2. delle Linee Guida n. 4 A.N.A.C. in materia di affidamenti aventi importo inferiore alle soglie comunitarie (approvate con deliberazione 26 ottobre 2016, n. 1097), che consentiva la deroga al principio di rotazione di cui all’art. 36 del d.lgs. n. 50/2016 in caso di </w:t>
      </w:r>
      <w:r w:rsidRPr="001839E3">
        <w:rPr>
          <w:rFonts w:ascii="Times New Roman" w:eastAsia="Times New Roman" w:hAnsi="Times New Roman" w:cs="Times New Roman"/>
          <w:i/>
          <w:iCs/>
          <w:color w:val="3D3B39"/>
          <w:lang w:eastAsia="it-IT"/>
        </w:rPr>
        <w:t>“riscontrata effettiva assenza di alternative ovvero del grado di soddisfazione maturato a conclusione del precedente rapporto contrattuale (esecuzione a regola d’arte, nel rispetto dei tempi e dei costi pattuiti)”</w:t>
      </w:r>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Nelle more dell’espletamento della procedura negoziata, al fine di garantire la continuità del servizio, lo </w:t>
      </w:r>
      <w:r w:rsidRPr="001839E3">
        <w:rPr>
          <w:rFonts w:ascii="Times New Roman" w:eastAsia="Times New Roman" w:hAnsi="Times New Roman" w:cs="Times New Roman"/>
          <w:color w:val="3D3B39"/>
          <w:lang w:eastAsia="it-IT"/>
        </w:rPr>
        <w:lastRenderedPageBreak/>
        <w:t xml:space="preserve">stesso Responsabile del Settore -con deliberazioni 14 novembre 2017 n. 150, e 28 dicembre 2017, n. 242- aveva prorogato l’affidamento al gestore uscente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osservando che </w:t>
      </w:r>
      <w:r w:rsidRPr="001839E3">
        <w:rPr>
          <w:rFonts w:ascii="Times New Roman" w:eastAsia="Times New Roman" w:hAnsi="Times New Roman" w:cs="Times New Roman"/>
          <w:i/>
          <w:iCs/>
          <w:color w:val="3D3B39"/>
          <w:lang w:eastAsia="it-IT"/>
        </w:rPr>
        <w:t>“si è ravvisato nel rapporto contrattuale un alto grado di soddisfazione maturato (soddisfazione da parte degli utenti, esecuzione a regola d’arte…”</w:t>
      </w:r>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Ricevute le lettere di invito, solo due delle quattro imprese invitate avevano poi presentato offerta, cioè la stessa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(che aveva offerto un prezzo di euro 21.712,50) e la </w:t>
      </w:r>
      <w:proofErr w:type="spellStart"/>
      <w:r w:rsidRPr="001839E3">
        <w:rPr>
          <w:rFonts w:ascii="Times New Roman" w:eastAsia="Times New Roman" w:hAnsi="Times New Roman" w:cs="Times New Roman"/>
          <w:color w:val="3D3B39"/>
          <w:lang w:eastAsia="it-IT"/>
        </w:rPr>
        <w:t>Sosebi</w:t>
      </w:r>
      <w:proofErr w:type="spellEnd"/>
      <w:r w:rsidRPr="001839E3">
        <w:rPr>
          <w:rFonts w:ascii="Times New Roman" w:eastAsia="Times New Roman" w:hAnsi="Times New Roman" w:cs="Times New Roman"/>
          <w:color w:val="3D3B39"/>
          <w:lang w:eastAsia="it-IT"/>
        </w:rPr>
        <w:t xml:space="preserve"> s.r.l. (da qui in poi soltanto “</w:t>
      </w:r>
      <w:proofErr w:type="spellStart"/>
      <w:r w:rsidRPr="001839E3">
        <w:rPr>
          <w:rFonts w:ascii="Times New Roman" w:eastAsia="Times New Roman" w:hAnsi="Times New Roman" w:cs="Times New Roman"/>
          <w:color w:val="3D3B39"/>
          <w:lang w:eastAsia="it-IT"/>
        </w:rPr>
        <w:t>Sosebi</w:t>
      </w:r>
      <w:proofErr w:type="spellEnd"/>
      <w:r w:rsidRPr="001839E3">
        <w:rPr>
          <w:rFonts w:ascii="Times New Roman" w:eastAsia="Times New Roman" w:hAnsi="Times New Roman" w:cs="Times New Roman"/>
          <w:color w:val="3D3B39"/>
          <w:lang w:eastAsia="it-IT"/>
        </w:rPr>
        <w:t xml:space="preserve">”), la cui offerta economica era stata di euro 22.230,00. </w:t>
      </w:r>
      <w:r w:rsidRPr="001839E3">
        <w:rPr>
          <w:rFonts w:ascii="Times New Roman" w:eastAsia="Times New Roman" w:hAnsi="Times New Roman" w:cs="Times New Roman"/>
          <w:color w:val="3D3B39"/>
          <w:lang w:eastAsia="it-IT"/>
        </w:rPr>
        <w:br/>
        <w:t xml:space="preserve">Con determinazione 16 gennaio 2018, n. 20, il servizio è stato affidato a </w:t>
      </w:r>
      <w:proofErr w:type="spellStart"/>
      <w:r w:rsidRPr="001839E3">
        <w:rPr>
          <w:rFonts w:ascii="Times New Roman" w:eastAsia="Times New Roman" w:hAnsi="Times New Roman" w:cs="Times New Roman"/>
          <w:color w:val="3D3B39"/>
          <w:lang w:eastAsia="it-IT"/>
        </w:rPr>
        <w:t>Sosebi</w:t>
      </w:r>
      <w:proofErr w:type="spellEnd"/>
      <w:r w:rsidRPr="001839E3">
        <w:rPr>
          <w:rFonts w:ascii="Times New Roman" w:eastAsia="Times New Roman" w:hAnsi="Times New Roman" w:cs="Times New Roman"/>
          <w:color w:val="3D3B39"/>
          <w:lang w:eastAsia="it-IT"/>
        </w:rPr>
        <w:t xml:space="preserve"> in dichiarata applicazione del principio di rotazione, avendo la stazione appaltante osservato che </w:t>
      </w:r>
      <w:r w:rsidRPr="001839E3">
        <w:rPr>
          <w:rFonts w:ascii="Times New Roman" w:eastAsia="Times New Roman" w:hAnsi="Times New Roman" w:cs="Times New Roman"/>
          <w:i/>
          <w:iCs/>
          <w:color w:val="3D3B39"/>
          <w:lang w:eastAsia="it-IT"/>
        </w:rPr>
        <w:t xml:space="preserve">“nonostante l’offerta economica di </w:t>
      </w:r>
      <w:proofErr w:type="spellStart"/>
      <w:r w:rsidRPr="001839E3">
        <w:rPr>
          <w:rFonts w:ascii="Times New Roman" w:eastAsia="Times New Roman" w:hAnsi="Times New Roman" w:cs="Times New Roman"/>
          <w:i/>
          <w:iCs/>
          <w:color w:val="3D3B39"/>
          <w:lang w:eastAsia="it-IT"/>
        </w:rPr>
        <w:t>Sisar</w:t>
      </w:r>
      <w:proofErr w:type="spellEnd"/>
      <w:r w:rsidRPr="001839E3">
        <w:rPr>
          <w:rFonts w:ascii="Times New Roman" w:eastAsia="Times New Roman" w:hAnsi="Times New Roman" w:cs="Times New Roman"/>
          <w:i/>
          <w:iCs/>
          <w:color w:val="3D3B39"/>
          <w:lang w:eastAsia="it-IT"/>
        </w:rPr>
        <w:t xml:space="preserve"> sia, seppur di poco, più conveniente per l’amministrazione, non sia adeguatamente giustificato il venir meno del sopra descritto principio di rotazione, essendo le due offerte assimilabili”</w:t>
      </w:r>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Con il ricorso ora all’esame del Collegio -regolarmente notificato, in data 23 febbraio 2018, sia al Comune che alla </w:t>
      </w:r>
      <w:proofErr w:type="spellStart"/>
      <w:r w:rsidRPr="001839E3">
        <w:rPr>
          <w:rFonts w:ascii="Times New Roman" w:eastAsia="Times New Roman" w:hAnsi="Times New Roman" w:cs="Times New Roman"/>
          <w:color w:val="3D3B39"/>
          <w:lang w:eastAsia="it-IT"/>
        </w:rPr>
        <w:t>Sosebi</w:t>
      </w:r>
      <w:proofErr w:type="spellEnd"/>
      <w:r w:rsidRPr="001839E3">
        <w:rPr>
          <w:rFonts w:ascii="Times New Roman" w:eastAsia="Times New Roman" w:hAnsi="Times New Roman" w:cs="Times New Roman"/>
          <w:color w:val="3D3B39"/>
          <w:lang w:eastAsia="it-IT"/>
        </w:rPr>
        <w:t xml:space="preserve">- la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ha chiesto l’annullamento dell’aggiudicazione a </w:t>
      </w:r>
      <w:proofErr w:type="spellStart"/>
      <w:r w:rsidRPr="001839E3">
        <w:rPr>
          <w:rFonts w:ascii="Times New Roman" w:eastAsia="Times New Roman" w:hAnsi="Times New Roman" w:cs="Times New Roman"/>
          <w:color w:val="3D3B39"/>
          <w:lang w:eastAsia="it-IT"/>
        </w:rPr>
        <w:t>Sosebi</w:t>
      </w:r>
      <w:proofErr w:type="spellEnd"/>
      <w:r w:rsidRPr="001839E3">
        <w:rPr>
          <w:rFonts w:ascii="Times New Roman" w:eastAsia="Times New Roman" w:hAnsi="Times New Roman" w:cs="Times New Roman"/>
          <w:color w:val="3D3B39"/>
          <w:lang w:eastAsia="it-IT"/>
        </w:rPr>
        <w:t>, nonché la dichiarazione di inefficacia del relativo contratto e il proprio subentro nel rapporto.</w:t>
      </w:r>
      <w:r w:rsidRPr="001839E3">
        <w:rPr>
          <w:rFonts w:ascii="Times New Roman" w:eastAsia="Times New Roman" w:hAnsi="Times New Roman" w:cs="Times New Roman"/>
          <w:color w:val="3D3B39"/>
          <w:lang w:eastAsia="it-IT"/>
        </w:rPr>
        <w:br/>
        <w:t xml:space="preserve">Si è costituito in giudizio il Comune di Siliqua, opponendosi all’accoglimento del ricorso, mentre la </w:t>
      </w:r>
      <w:proofErr w:type="spellStart"/>
      <w:r w:rsidRPr="001839E3">
        <w:rPr>
          <w:rFonts w:ascii="Times New Roman" w:eastAsia="Times New Roman" w:hAnsi="Times New Roman" w:cs="Times New Roman"/>
          <w:color w:val="3D3B39"/>
          <w:lang w:eastAsia="it-IT"/>
        </w:rPr>
        <w:t>Sosebi</w:t>
      </w:r>
      <w:proofErr w:type="spellEnd"/>
      <w:r w:rsidRPr="001839E3">
        <w:rPr>
          <w:rFonts w:ascii="Times New Roman" w:eastAsia="Times New Roman" w:hAnsi="Times New Roman" w:cs="Times New Roman"/>
          <w:color w:val="3D3B39"/>
          <w:lang w:eastAsia="it-IT"/>
        </w:rPr>
        <w:t xml:space="preserve"> non si è costituita in giudizio.</w:t>
      </w:r>
      <w:r w:rsidRPr="001839E3">
        <w:rPr>
          <w:rFonts w:ascii="Times New Roman" w:eastAsia="Times New Roman" w:hAnsi="Times New Roman" w:cs="Times New Roman"/>
          <w:color w:val="3D3B39"/>
          <w:lang w:eastAsia="it-IT"/>
        </w:rPr>
        <w:br/>
        <w:t>Alla camera di consiglio del 4 aprile 2018, fissata per l’esame dell’istanza cautelare, la causa è stata assunta a decisione ai fini della sua definizione con sentenza in forma semplificata.</w:t>
      </w:r>
      <w:r w:rsidRPr="001839E3">
        <w:rPr>
          <w:rFonts w:ascii="Times New Roman" w:eastAsia="Times New Roman" w:hAnsi="Times New Roman" w:cs="Times New Roman"/>
          <w:color w:val="3D3B39"/>
          <w:lang w:eastAsia="it-IT"/>
        </w:rPr>
        <w:br/>
        <w:t xml:space="preserve">Le censure dedotte dalla ricorrente possono essere esaminate unitariamente, in quanto riconducibili a un’impostazione unitaria, laddove la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in sintesi, sostiene che:</w:t>
      </w:r>
      <w:r w:rsidRPr="001839E3">
        <w:rPr>
          <w:rFonts w:ascii="Times New Roman" w:eastAsia="Times New Roman" w:hAnsi="Times New Roman" w:cs="Times New Roman"/>
          <w:color w:val="3D3B39"/>
          <w:lang w:eastAsia="it-IT"/>
        </w:rPr>
        <w:br/>
        <w:t>vi fossero i presupposti normativi per il “reinvito” del gestore uscente, sui quali, del resto, il Comune aveva correttamente motivato la relativa scelta;</w:t>
      </w:r>
      <w:r w:rsidRPr="001839E3">
        <w:rPr>
          <w:rFonts w:ascii="Times New Roman" w:eastAsia="Times New Roman" w:hAnsi="Times New Roman" w:cs="Times New Roman"/>
          <w:color w:val="3D3B39"/>
          <w:lang w:eastAsia="it-IT"/>
        </w:rPr>
        <w:br/>
        <w:t xml:space="preserve">lo stesso Comune, avendola reinvitata alla gara, avrebbe, a quel punto, dovuto considerare l’offerta di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“alla stessa stregua delle altre”, per cui -una volta ritenuto che essa fosse la più conveniente- avrebbe dovuto premiarla con l’aggiudicazione, anziché favorire la seconda classificata in dichiarata (ed erronea) applicazione del principio di rotazione;</w:t>
      </w:r>
      <w:r w:rsidRPr="001839E3">
        <w:rPr>
          <w:rFonts w:ascii="Times New Roman" w:eastAsia="Times New Roman" w:hAnsi="Times New Roman" w:cs="Times New Roman"/>
          <w:color w:val="3D3B39"/>
          <w:lang w:eastAsia="it-IT"/>
        </w:rPr>
        <w:br/>
        <w:t>a tale conclusione si giungerebbe attraverso una corretta applicazione dell’art. 36 del Codice dei contratti pubblici, oltre che in base ai generali principi di economicità, buon andamento, efficacia, correttezza, libera concorrenza, imparzialità e non discriminazione;</w:t>
      </w:r>
      <w:r w:rsidRPr="001839E3">
        <w:rPr>
          <w:rFonts w:ascii="Times New Roman" w:eastAsia="Times New Roman" w:hAnsi="Times New Roman" w:cs="Times New Roman"/>
          <w:color w:val="3D3B39"/>
          <w:lang w:eastAsia="it-IT"/>
        </w:rPr>
        <w:br/>
        <w:t xml:space="preserve">sarebbe, dunque, contraddittoria la scelta del Comune di invitare la ricorrente alla gara, verificare che la sua offerta era la migliore e poi aggiudicare il servizio alla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“per ragioni di rotazione”.</w:t>
      </w:r>
      <w:r w:rsidRPr="001839E3">
        <w:rPr>
          <w:rFonts w:ascii="Times New Roman" w:eastAsia="Times New Roman" w:hAnsi="Times New Roman" w:cs="Times New Roman"/>
          <w:color w:val="3D3B39"/>
          <w:lang w:eastAsia="it-IT"/>
        </w:rPr>
        <w:br/>
        <w:t>Tale prospettazione è condivisa dal Collegio, nei termini di seguito specificati.</w:t>
      </w:r>
      <w:r w:rsidRPr="001839E3">
        <w:rPr>
          <w:rFonts w:ascii="Times New Roman" w:eastAsia="Times New Roman" w:hAnsi="Times New Roman" w:cs="Times New Roman"/>
          <w:color w:val="3D3B39"/>
          <w:lang w:eastAsia="it-IT"/>
        </w:rPr>
        <w:br/>
        <w:t>Giova premettere che già il precedente Codice dei contratti pubblici (approvato con d.lgs. 12 aprile 2006, n. 163) -dopo aver indicato i casi tassativi in cui era possibile ricorrere alla procedura negoziata senza previa pubblicazione di un bando di gara- all'art. 57, comma 6, stabiliva che: “</w:t>
      </w:r>
      <w:r w:rsidRPr="001839E3">
        <w:rPr>
          <w:rFonts w:ascii="Times New Roman" w:eastAsia="Times New Roman" w:hAnsi="Times New Roman" w:cs="Times New Roman"/>
          <w:i/>
          <w:iCs/>
          <w:color w:val="3D3B39"/>
          <w:lang w:eastAsia="it-IT"/>
        </w:rPr>
        <w:t>A) nella fase preliminare di selezione degli operatori economici da consultare, la stazione appaltante ove possibile individua tali soggetti sulla base di informazioni riguardanti le caratteristiche di qualificazione economico finanziaria e tecnico organizzativa desunte dal mercato, nel rispetto dei principi di trasparenza, concorrenza, rotazione, e seleziona almeno tre operatori economici, se sussistono in tale numero soggetti idonei</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i/>
          <w:iCs/>
          <w:color w:val="3D3B39"/>
          <w:lang w:eastAsia="it-IT"/>
        </w:rPr>
        <w:t>B) nella fase della partecipazione alla gara, gli operatori economici selezionati sono quindi contemporaneamente invitati a presentare le offerte oggetto della negoziazione, con lettera contenente gli elementi essenziali della prestazione richiesta”</w:t>
      </w:r>
      <w:r w:rsidRPr="001839E3">
        <w:rPr>
          <w:rFonts w:ascii="Times New Roman" w:eastAsia="Times New Roman" w:hAnsi="Times New Roman" w:cs="Times New Roman"/>
          <w:color w:val="3D3B39"/>
          <w:lang w:eastAsia="it-IT"/>
        </w:rPr>
        <w:t xml:space="preserve">; inoltre per l’affidamento di lavori “in economia” l’art. 125, comma 8, dello stesso “vecchio” Codice dei contratti statuiva che </w:t>
      </w:r>
      <w:r w:rsidRPr="001839E3">
        <w:rPr>
          <w:rFonts w:ascii="Times New Roman" w:eastAsia="Times New Roman" w:hAnsi="Times New Roman" w:cs="Times New Roman"/>
          <w:i/>
          <w:iCs/>
          <w:color w:val="3D3B39"/>
          <w:lang w:eastAsia="it-IT"/>
        </w:rPr>
        <w:t>“Per lavori di importo pari superiore a 40.000 euro e fino a 200.000 euro, l'affidamento mediante cottimo fiduciario avviene nel rispetto dei principi di trasparenza, rotazione, parità di trattamento, previa consultazione di almeno cinque operatori economici, se sussistono in tale numero soggetti idonei, individuati sulla base di indagini di mercato ovvero tramite elenchi di operatori economici predisposti dalla stazione appaltante. Per lavori di importo inferiore a quarantamila euro è consentito l'affidamento diretto da parte del responsabile del procedimento”</w:t>
      </w:r>
      <w:r w:rsidRPr="001839E3">
        <w:rPr>
          <w:rFonts w:ascii="Times New Roman" w:eastAsia="Times New Roman" w:hAnsi="Times New Roman" w:cs="Times New Roman"/>
          <w:color w:val="3D3B39"/>
          <w:lang w:eastAsia="it-IT"/>
        </w:rPr>
        <w:t xml:space="preserve"> e analoga disciplina era prevista, al successivo comma 11, per l’affidamento “in economia” di servizi e forniture.</w:t>
      </w:r>
      <w:r w:rsidRPr="001839E3">
        <w:rPr>
          <w:rFonts w:ascii="Times New Roman" w:eastAsia="Times New Roman" w:hAnsi="Times New Roman" w:cs="Times New Roman"/>
          <w:color w:val="3D3B39"/>
          <w:lang w:eastAsia="it-IT"/>
        </w:rPr>
        <w:br/>
        <w:t xml:space="preserve">Pertanto può osservarsi che l’art. 36 del nuovo Codice dei contratti pubblici, lungi dall’introdurre un istituto completamente nuovo, ha semplicemente riaffermato e valorizzato un canone da tempo immanente nell’ordinamento, la cui </w:t>
      </w:r>
      <w:r w:rsidRPr="001839E3">
        <w:rPr>
          <w:rFonts w:ascii="Times New Roman" w:eastAsia="Times New Roman" w:hAnsi="Times New Roman" w:cs="Times New Roman"/>
          <w:i/>
          <w:iCs/>
          <w:color w:val="3D3B39"/>
          <w:lang w:eastAsia="it-IT"/>
        </w:rPr>
        <w:t>ratio</w:t>
      </w:r>
      <w:r w:rsidRPr="001839E3">
        <w:rPr>
          <w:rFonts w:ascii="Times New Roman" w:eastAsia="Times New Roman" w:hAnsi="Times New Roman" w:cs="Times New Roman"/>
          <w:color w:val="3D3B39"/>
          <w:lang w:eastAsia="it-IT"/>
        </w:rPr>
        <w:t xml:space="preserve"> è facilmente identificabile: il principio di rotazione è funzionale a evitare indebite “posizioni di favore” e inaccettabili “chiusure surrettizie” del mercato.</w:t>
      </w:r>
      <w:r w:rsidRPr="001839E3">
        <w:rPr>
          <w:rFonts w:ascii="Times New Roman" w:eastAsia="Times New Roman" w:hAnsi="Times New Roman" w:cs="Times New Roman"/>
          <w:color w:val="3D3B39"/>
          <w:lang w:eastAsia="it-IT"/>
        </w:rPr>
        <w:br/>
        <w:t xml:space="preserve">Va, peraltro, precisato che, nella vigenza del “vecchio” Codice dei contratti pubblici, non era stata attribuita al principio di rotazione portata “precettiva assoluta”, con la conseguenza che l'aggiudicazione a impresa già in precedenza invitata a selezioni analoghe e/o affidataria dello stesso servizio, non era considerata per ciò </w:t>
      </w:r>
      <w:r w:rsidRPr="001839E3">
        <w:rPr>
          <w:rFonts w:ascii="Times New Roman" w:eastAsia="Times New Roman" w:hAnsi="Times New Roman" w:cs="Times New Roman"/>
          <w:color w:val="3D3B39"/>
          <w:lang w:eastAsia="it-IT"/>
        </w:rPr>
        <w:lastRenderedPageBreak/>
        <w:t xml:space="preserve">solo illegittima, sempre che la gara si fosse svolta nel rispetto delle regole di legge e si fosse conclusa con la scelta dell'offerta più vantaggiosa, soprattutto laddove nel relativo giudizio di comparazione non avesse direttamente inciso la pregressa esperienza specifica maturata dall’aggiudicatario in veste di </w:t>
      </w:r>
      <w:r w:rsidRPr="001839E3">
        <w:rPr>
          <w:rFonts w:ascii="Times New Roman" w:eastAsia="Times New Roman" w:hAnsi="Times New Roman" w:cs="Times New Roman"/>
          <w:i/>
          <w:iCs/>
          <w:color w:val="3D3B39"/>
          <w:lang w:eastAsia="it-IT"/>
        </w:rPr>
        <w:t>partner</w:t>
      </w:r>
      <w:r w:rsidRPr="001839E3">
        <w:rPr>
          <w:rFonts w:ascii="Times New Roman" w:eastAsia="Times New Roman" w:hAnsi="Times New Roman" w:cs="Times New Roman"/>
          <w:color w:val="3D3B39"/>
          <w:lang w:eastAsia="it-IT"/>
        </w:rPr>
        <w:t xml:space="preserve"> contrattuale della stazione appaltante (in tal senso si era consolidata la giurisprudenza: tra le tante si può citare la convincente pronuncia del T.A.R. Lazio, Roma, Sez. II, 20 aprile 2015, n. 5771).</w:t>
      </w:r>
      <w:r w:rsidRPr="001839E3">
        <w:rPr>
          <w:rFonts w:ascii="Times New Roman" w:eastAsia="Times New Roman" w:hAnsi="Times New Roman" w:cs="Times New Roman"/>
          <w:color w:val="3D3B39"/>
          <w:lang w:eastAsia="it-IT"/>
        </w:rPr>
        <w:br/>
        <w:t xml:space="preserve">Con l’entrata in vigore del nuovo Codice dei contratti pubblici la portata del principio di rotazione sugli appalti cc.dd. sotto soglia è ora affidata alla disciplina dell’art. 36, secondo cui </w:t>
      </w:r>
      <w:r w:rsidRPr="001839E3">
        <w:rPr>
          <w:rFonts w:ascii="Times New Roman" w:eastAsia="Times New Roman" w:hAnsi="Times New Roman" w:cs="Times New Roman"/>
          <w:i/>
          <w:iCs/>
          <w:color w:val="3D3B39"/>
          <w:lang w:eastAsia="it-IT"/>
        </w:rPr>
        <w:t>“1. L'affidamento e l'esecuzione di lavori, servizi e forniture di importo inferiore alle soglie di cui all'articolo 35 avvengono nel rispetto dei principi di cui agli articoli 30, comma 1, 34 e 42, nonché del rispetto del principio di rotazione degli inviti e degli affidamenti e in modo da assicurare l'effettiva possibilità di partecipazione delle microimprese, piccole e medie imprese. Le stazioni appaltanti possono, altresì, applicare le disposizioni di cui all'articolo 50. 2. Fermo restando quanto previsto dagli articoli 37 e 38 e salva la possibilità di ricorrere alle procedure ordinarie, le stazioni appaltanti procedono all'affidamento di lavori, servizi e forniture di importo inferiore alle soglie di cui all'articolo 35, secondo le seguenti modalità: a) per affidamenti di importo inferiore a 40.000 euro, mediante affidamento diretto anche senza previa consultazione di due o più operatori economici o per i lavori in amministrazione diretta; b) per affidamenti di importo pari o superiore a 40.000 euro e inferiore a 150.000 euro per i lavori, o alle soglie di cui all'articolo 35 per le forniture e i servizi, mediante procedura negoziata previa consultazione, ove esistenti, di almeno dieci operatori economici per i lavori, e, per i servizi e le forniture di almeno cinque operatori economici individuati sulla base di indagini di mercato o tramite elenchi di operatori economici, nel rispetto di un criterio di rotazione degli inviti…”.</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Orbene questa nuova disciplina, se per un verso rafforza certamente la </w:t>
      </w:r>
      <w:proofErr w:type="spellStart"/>
      <w:r w:rsidRPr="001839E3">
        <w:rPr>
          <w:rFonts w:ascii="Times New Roman" w:eastAsia="Times New Roman" w:hAnsi="Times New Roman" w:cs="Times New Roman"/>
          <w:color w:val="3D3B39"/>
          <w:lang w:eastAsia="it-IT"/>
        </w:rPr>
        <w:t>precettività</w:t>
      </w:r>
      <w:proofErr w:type="spellEnd"/>
      <w:r w:rsidRPr="001839E3">
        <w:rPr>
          <w:rFonts w:ascii="Times New Roman" w:eastAsia="Times New Roman" w:hAnsi="Times New Roman" w:cs="Times New Roman"/>
          <w:color w:val="3D3B39"/>
          <w:lang w:eastAsia="it-IT"/>
        </w:rPr>
        <w:t xml:space="preserve"> del principio di rotazione, per altro verso continua a declinarlo in termini variegati in relazione al tipo di procedura concretamente utilizzata, consentendo, altresì, (limitate e motivate) deroghe allo stesso.</w:t>
      </w:r>
      <w:r w:rsidRPr="001839E3">
        <w:rPr>
          <w:rFonts w:ascii="Times New Roman" w:eastAsia="Times New Roman" w:hAnsi="Times New Roman" w:cs="Times New Roman"/>
          <w:color w:val="3D3B39"/>
          <w:lang w:eastAsia="it-IT"/>
        </w:rPr>
        <w:br/>
        <w:t xml:space="preserve">Prima di tutto emerge dall’esame testuale dell’art. 36 che -se l’affidamento “sotto soglia” si svolge previa procedura comparativa- l’applicazione del principio di rotazione è anticipata al momento della scelta dei soggetti da invitare: in questo senso si esprime chiaramente l’art. 36, comma 2, </w:t>
      </w:r>
      <w:proofErr w:type="spellStart"/>
      <w:r w:rsidRPr="001839E3">
        <w:rPr>
          <w:rFonts w:ascii="Times New Roman" w:eastAsia="Times New Roman" w:hAnsi="Times New Roman" w:cs="Times New Roman"/>
          <w:color w:val="3D3B39"/>
          <w:lang w:eastAsia="it-IT"/>
        </w:rPr>
        <w:t>lett</w:t>
      </w:r>
      <w:proofErr w:type="spellEnd"/>
      <w:r w:rsidRPr="001839E3">
        <w:rPr>
          <w:rFonts w:ascii="Times New Roman" w:eastAsia="Times New Roman" w:hAnsi="Times New Roman" w:cs="Times New Roman"/>
          <w:color w:val="3D3B39"/>
          <w:lang w:eastAsia="it-IT"/>
        </w:rPr>
        <w:t xml:space="preserve">. b), del d.lgs. n. 50/2016, secondo cui </w:t>
      </w:r>
      <w:r w:rsidRPr="001839E3">
        <w:rPr>
          <w:rFonts w:ascii="Times New Roman" w:eastAsia="Times New Roman" w:hAnsi="Times New Roman" w:cs="Times New Roman"/>
          <w:i/>
          <w:iCs/>
          <w:color w:val="3D3B39"/>
          <w:lang w:eastAsia="it-IT"/>
        </w:rPr>
        <w:t>“per affidamenti di importo pari o superiore a 40.000 euro e inferiore a 150.000 euro per i lavori, o alle soglie di cui all'articolo 35 per le forniture e i servizi, mediante procedura negoziata previa consultazione, ove esistenti, di almeno dieci operatori economici per i lavori, e, per i servizi e le forniture di almeno cinque operatori economici individuati sulla base di indagini di mercato o tramite elenchi di operatori economici, nel rispetto di un criterio di rotazione degli inviti”</w:t>
      </w:r>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Ciò trova conferma nel confronto tra il secondo comma, ove appunto si parla di </w:t>
      </w:r>
      <w:r w:rsidRPr="001839E3">
        <w:rPr>
          <w:rFonts w:ascii="Times New Roman" w:eastAsia="Times New Roman" w:hAnsi="Times New Roman" w:cs="Times New Roman"/>
          <w:i/>
          <w:iCs/>
          <w:color w:val="3D3B39"/>
          <w:lang w:eastAsia="it-IT"/>
        </w:rPr>
        <w:t>“rotazione degli inviti”</w:t>
      </w:r>
      <w:r w:rsidRPr="001839E3">
        <w:rPr>
          <w:rFonts w:ascii="Times New Roman" w:eastAsia="Times New Roman" w:hAnsi="Times New Roman" w:cs="Times New Roman"/>
          <w:color w:val="3D3B39"/>
          <w:lang w:eastAsia="it-IT"/>
        </w:rPr>
        <w:t>, e il primo comma, ove, invece, si parla di “</w:t>
      </w:r>
      <w:r w:rsidRPr="001839E3">
        <w:rPr>
          <w:rFonts w:ascii="Times New Roman" w:eastAsia="Times New Roman" w:hAnsi="Times New Roman" w:cs="Times New Roman"/>
          <w:i/>
          <w:iCs/>
          <w:color w:val="3D3B39"/>
          <w:lang w:eastAsia="it-IT"/>
        </w:rPr>
        <w:t>rotazione degli inviti e degli affidamenti”</w:t>
      </w:r>
      <w:r w:rsidRPr="001839E3">
        <w:rPr>
          <w:rFonts w:ascii="Times New Roman" w:eastAsia="Times New Roman" w:hAnsi="Times New Roman" w:cs="Times New Roman"/>
          <w:color w:val="3D3B39"/>
          <w:lang w:eastAsia="it-IT"/>
        </w:rPr>
        <w:t xml:space="preserve">: questo diverso modo di operare del principio si spiega considerando che, nel suo complesso, l’art. 36 disciplina sia le procedure caratterizzate dal confronto tra più imprese invitate dalla stazione appaltante (al comma 2, </w:t>
      </w:r>
      <w:proofErr w:type="spellStart"/>
      <w:r w:rsidRPr="001839E3">
        <w:rPr>
          <w:rFonts w:ascii="Times New Roman" w:eastAsia="Times New Roman" w:hAnsi="Times New Roman" w:cs="Times New Roman"/>
          <w:color w:val="3D3B39"/>
          <w:lang w:eastAsia="it-IT"/>
        </w:rPr>
        <w:t>lett</w:t>
      </w:r>
      <w:proofErr w:type="spellEnd"/>
      <w:r w:rsidRPr="001839E3">
        <w:rPr>
          <w:rFonts w:ascii="Times New Roman" w:eastAsia="Times New Roman" w:hAnsi="Times New Roman" w:cs="Times New Roman"/>
          <w:color w:val="3D3B39"/>
          <w:lang w:eastAsia="it-IT"/>
        </w:rPr>
        <w:t xml:space="preserve">. b), sia quelle con “affidamento diretto” (al comma 2, </w:t>
      </w:r>
      <w:proofErr w:type="spellStart"/>
      <w:r w:rsidRPr="001839E3">
        <w:rPr>
          <w:rFonts w:ascii="Times New Roman" w:eastAsia="Times New Roman" w:hAnsi="Times New Roman" w:cs="Times New Roman"/>
          <w:color w:val="3D3B39"/>
          <w:lang w:eastAsia="it-IT"/>
        </w:rPr>
        <w:t>lett</w:t>
      </w:r>
      <w:proofErr w:type="spellEnd"/>
      <w:r w:rsidRPr="001839E3">
        <w:rPr>
          <w:rFonts w:ascii="Times New Roman" w:eastAsia="Times New Roman" w:hAnsi="Times New Roman" w:cs="Times New Roman"/>
          <w:color w:val="3D3B39"/>
          <w:lang w:eastAsia="it-IT"/>
        </w:rPr>
        <w:t>. a), cioè non precedute da alcun confronto concorrenziale (consentite per importi inferiori o pari a 40.000 euro), nelle quali la rotazione è, ovviamente, concepibile solo in relazione all’affidamento della commessa e non in relazione alla fase degli inviti, la quale, semplicemente, non esiste.</w:t>
      </w:r>
      <w:r w:rsidRPr="001839E3">
        <w:rPr>
          <w:rFonts w:ascii="Times New Roman" w:eastAsia="Times New Roman" w:hAnsi="Times New Roman" w:cs="Times New Roman"/>
          <w:color w:val="3D3B39"/>
          <w:lang w:eastAsia="it-IT"/>
        </w:rPr>
        <w:br/>
        <w:t xml:space="preserve">In sostanza la disciplina complessiva dettata dall’art. 36 del d.lgs. n. 50/2016 è riassumibile nei termini seguenti: </w:t>
      </w:r>
      <w:r w:rsidRPr="001839E3">
        <w:rPr>
          <w:rFonts w:ascii="Times New Roman" w:eastAsia="Times New Roman" w:hAnsi="Times New Roman" w:cs="Times New Roman"/>
          <w:color w:val="3D3B39"/>
          <w:lang w:eastAsia="it-IT"/>
        </w:rPr>
        <w:br/>
        <w:t xml:space="preserve">se la commessa è di valore pari o inferiore ai 40.000 il contratto può essere affidato senza alcun confronto concorrenziale e se ciò effettivamente accade il principio di rotazione non potrà che essere applicato in relazione all’aggiudicazione (art. 36, comma 2, </w:t>
      </w:r>
      <w:proofErr w:type="spellStart"/>
      <w:r w:rsidRPr="001839E3">
        <w:rPr>
          <w:rFonts w:ascii="Times New Roman" w:eastAsia="Times New Roman" w:hAnsi="Times New Roman" w:cs="Times New Roman"/>
          <w:color w:val="3D3B39"/>
          <w:lang w:eastAsia="it-IT"/>
        </w:rPr>
        <w:t>lett</w:t>
      </w:r>
      <w:proofErr w:type="spellEnd"/>
      <w:r w:rsidRPr="001839E3">
        <w:rPr>
          <w:rFonts w:ascii="Times New Roman" w:eastAsia="Times New Roman" w:hAnsi="Times New Roman" w:cs="Times New Roman"/>
          <w:color w:val="3D3B39"/>
          <w:lang w:eastAsia="it-IT"/>
        </w:rPr>
        <w:t xml:space="preserve">. a); </w:t>
      </w:r>
      <w:r w:rsidRPr="001839E3">
        <w:rPr>
          <w:rFonts w:ascii="Times New Roman" w:eastAsia="Times New Roman" w:hAnsi="Times New Roman" w:cs="Times New Roman"/>
          <w:color w:val="3D3B39"/>
          <w:lang w:eastAsia="it-IT"/>
        </w:rPr>
        <w:br/>
        <w:t>se, invece, la commessa è di valore superiore ai 40.000 (e sino a 150.000 euro), è necessario operare un confronto concorrenziale tra più ditte invitate dalla stazione appaltante (almeno cinque in caso di servizi e forniture, almeno dieci in caso di lavori) e, in questo caso, il principio di rotazione opera (esclusivamente) con riferimento alla fase degli inviti, il che, peraltro, è conforme a evidenti esigenze di corretto esercizio dell’azione amministrativa e di tutela dell’affidamento (aspetto sul quale si tornerà successivamente, nella parte finale della trattazione).</w:t>
      </w:r>
      <w:r w:rsidRPr="001839E3">
        <w:rPr>
          <w:rFonts w:ascii="Times New Roman" w:eastAsia="Times New Roman" w:hAnsi="Times New Roman" w:cs="Times New Roman"/>
          <w:color w:val="3D3B39"/>
          <w:lang w:eastAsia="it-IT"/>
        </w:rPr>
        <w:br/>
        <w:t xml:space="preserve">Inoltre deve osservarsi come il principio di rotazione degli inviti non sia dotato di portata precettiva assoluta e perciò sopporti alcune limitate deroghe, come espressamente chiarito dalle Linee Guida n. 4 A.N.A.C. sugli affidamenti sotto soglia approvate (ai sensi dell’art. 36, comma 7, del Codice) con deliberazione 26 ottobre 2016, n. 1097, applicabili </w:t>
      </w:r>
      <w:proofErr w:type="spellStart"/>
      <w:r w:rsidRPr="001839E3">
        <w:rPr>
          <w:rFonts w:ascii="Times New Roman" w:eastAsia="Times New Roman" w:hAnsi="Times New Roman" w:cs="Times New Roman"/>
          <w:i/>
          <w:iCs/>
          <w:color w:val="3D3B39"/>
          <w:lang w:eastAsia="it-IT"/>
        </w:rPr>
        <w:t>ratione</w:t>
      </w:r>
      <w:proofErr w:type="spellEnd"/>
      <w:r w:rsidRPr="001839E3">
        <w:rPr>
          <w:rFonts w:ascii="Times New Roman" w:eastAsia="Times New Roman" w:hAnsi="Times New Roman" w:cs="Times New Roman"/>
          <w:i/>
          <w:iCs/>
          <w:color w:val="3D3B39"/>
          <w:lang w:eastAsia="it-IT"/>
        </w:rPr>
        <w:t xml:space="preserve"> </w:t>
      </w:r>
      <w:proofErr w:type="spellStart"/>
      <w:r w:rsidRPr="001839E3">
        <w:rPr>
          <w:rFonts w:ascii="Times New Roman" w:eastAsia="Times New Roman" w:hAnsi="Times New Roman" w:cs="Times New Roman"/>
          <w:i/>
          <w:iCs/>
          <w:color w:val="3D3B39"/>
          <w:lang w:eastAsia="it-IT"/>
        </w:rPr>
        <w:t>temporis</w:t>
      </w:r>
      <w:proofErr w:type="spellEnd"/>
      <w:r w:rsidRPr="001839E3">
        <w:rPr>
          <w:rFonts w:ascii="Times New Roman" w:eastAsia="Times New Roman" w:hAnsi="Times New Roman" w:cs="Times New Roman"/>
          <w:color w:val="3D3B39"/>
          <w:lang w:eastAsia="it-IT"/>
        </w:rPr>
        <w:t xml:space="preserve"> alla vicenda in esame e dalle quali, peraltro, non si discostano significativamente, almeno sotto il profilo ora in esame, le successive Linee Guida recentemente entrate in </w:t>
      </w:r>
      <w:r w:rsidRPr="001839E3">
        <w:rPr>
          <w:rFonts w:ascii="Times New Roman" w:eastAsia="Times New Roman" w:hAnsi="Times New Roman" w:cs="Times New Roman"/>
          <w:color w:val="3D3B39"/>
          <w:lang w:eastAsia="it-IT"/>
        </w:rPr>
        <w:lastRenderedPageBreak/>
        <w:t xml:space="preserve">vigore (sulle quali vedi </w:t>
      </w:r>
      <w:r w:rsidRPr="001839E3">
        <w:rPr>
          <w:rFonts w:ascii="Times New Roman" w:eastAsia="Times New Roman" w:hAnsi="Times New Roman" w:cs="Times New Roman"/>
          <w:i/>
          <w:iCs/>
          <w:color w:val="3D3B39"/>
          <w:lang w:eastAsia="it-IT"/>
        </w:rPr>
        <w:t>infra</w:t>
      </w:r>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Già nelle prime Linee guida, infatti, è stata espressamente consentita una motivata deroga al principio di rotazione in caso di </w:t>
      </w:r>
      <w:r w:rsidRPr="001839E3">
        <w:rPr>
          <w:rFonts w:ascii="Times New Roman" w:eastAsia="Times New Roman" w:hAnsi="Times New Roman" w:cs="Times New Roman"/>
          <w:i/>
          <w:iCs/>
          <w:color w:val="3D3B39"/>
          <w:lang w:eastAsia="it-IT"/>
        </w:rPr>
        <w:t>“riscontrata effettiva assenza di alternative ovvero del grado di soddisfazione maturato a conclusione del precedente rapporto contrattuale (esecuzione a regola d’arte, nel rispetto dei tempi e dei costi pattuiti)”</w:t>
      </w:r>
      <w:r w:rsidRPr="001839E3">
        <w:rPr>
          <w:rFonts w:ascii="Times New Roman" w:eastAsia="Times New Roman" w:hAnsi="Times New Roman" w:cs="Times New Roman"/>
          <w:color w:val="3D3B39"/>
          <w:lang w:eastAsia="it-IT"/>
        </w:rPr>
        <w:t xml:space="preserve"> e negli stessi termini si è pronunciata anche la Commissione speciale del Consiglio di Stato con parere 12 febbraio 2018, n. 361, espresso nell’ambito dell’istruttoria per l’aggiornamento delle Linee Guida ANAC, chiarendo che </w:t>
      </w:r>
      <w:r w:rsidRPr="001839E3">
        <w:rPr>
          <w:rFonts w:ascii="Times New Roman" w:eastAsia="Times New Roman" w:hAnsi="Times New Roman" w:cs="Times New Roman"/>
          <w:i/>
          <w:iCs/>
          <w:color w:val="3D3B39"/>
          <w:lang w:eastAsia="it-IT"/>
        </w:rPr>
        <w:t xml:space="preserve">“il principio di rotazione comporta in linea generale che l’invito all’affidatario uscente rivesta carattere eccezionale e debba essere adeguatamente motivato, avuto riguardo al numero ridotto di operatori presenti sul mercato, al grado di soddisfazione maturato a conclusione del precedente rapporto contrattuale ovvero all’oggetto ed alle caratteristiche del mercato di riferimento (in tal senso, cfr. </w:t>
      </w:r>
      <w:proofErr w:type="spellStart"/>
      <w:r w:rsidRPr="001839E3">
        <w:rPr>
          <w:rFonts w:ascii="Times New Roman" w:eastAsia="Times New Roman" w:hAnsi="Times New Roman" w:cs="Times New Roman"/>
          <w:i/>
          <w:iCs/>
          <w:color w:val="3D3B39"/>
          <w:lang w:eastAsia="it-IT"/>
        </w:rPr>
        <w:t>Cons</w:t>
      </w:r>
      <w:proofErr w:type="spellEnd"/>
      <w:r w:rsidRPr="001839E3">
        <w:rPr>
          <w:rFonts w:ascii="Times New Roman" w:eastAsia="Times New Roman" w:hAnsi="Times New Roman" w:cs="Times New Roman"/>
          <w:i/>
          <w:iCs/>
          <w:color w:val="3D3B39"/>
          <w:lang w:eastAsia="it-IT"/>
        </w:rPr>
        <w:t xml:space="preserve">. St., VI, 31 ago-sto 2017, n. 4125; </w:t>
      </w:r>
      <w:proofErr w:type="spellStart"/>
      <w:r w:rsidRPr="001839E3">
        <w:rPr>
          <w:rFonts w:ascii="Times New Roman" w:eastAsia="Times New Roman" w:hAnsi="Times New Roman" w:cs="Times New Roman"/>
          <w:i/>
          <w:iCs/>
          <w:color w:val="3D3B39"/>
          <w:lang w:eastAsia="it-IT"/>
        </w:rPr>
        <w:t>Cons</w:t>
      </w:r>
      <w:proofErr w:type="spellEnd"/>
      <w:r w:rsidRPr="001839E3">
        <w:rPr>
          <w:rFonts w:ascii="Times New Roman" w:eastAsia="Times New Roman" w:hAnsi="Times New Roman" w:cs="Times New Roman"/>
          <w:i/>
          <w:iCs/>
          <w:color w:val="3D3B39"/>
          <w:lang w:eastAsia="it-IT"/>
        </w:rPr>
        <w:t>. St., V, 31 agosto 2017, n. 4142)”</w:t>
      </w:r>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Ciò posto, passando alla fattispecie ora sottoposta all’esame del Collegio, deve innanzitutto osservarsi come, pur vertendosi in una procedura di importo inferiore ai 40.000 euro, la stazione appaltante abbia inteso procedere al confronto concorrenziale, in tal modo sostanzialmente “sottoponendosi” alla disciplina dettata dall’art. 36, comma 2, </w:t>
      </w:r>
      <w:proofErr w:type="spellStart"/>
      <w:r w:rsidRPr="001839E3">
        <w:rPr>
          <w:rFonts w:ascii="Times New Roman" w:eastAsia="Times New Roman" w:hAnsi="Times New Roman" w:cs="Times New Roman"/>
          <w:color w:val="3D3B39"/>
          <w:lang w:eastAsia="it-IT"/>
        </w:rPr>
        <w:t>lett</w:t>
      </w:r>
      <w:proofErr w:type="spellEnd"/>
      <w:r w:rsidRPr="001839E3">
        <w:rPr>
          <w:rFonts w:ascii="Times New Roman" w:eastAsia="Times New Roman" w:hAnsi="Times New Roman" w:cs="Times New Roman"/>
          <w:color w:val="3D3B39"/>
          <w:lang w:eastAsia="it-IT"/>
        </w:rPr>
        <w:t>. b), che come si visto impone di invitare almeno cinque imprese per l’affidamento di una prestazione di servizi, come quella ora in esame.</w:t>
      </w:r>
      <w:r w:rsidRPr="001839E3">
        <w:rPr>
          <w:rFonts w:ascii="Times New Roman" w:eastAsia="Times New Roman" w:hAnsi="Times New Roman" w:cs="Times New Roman"/>
          <w:color w:val="3D3B39"/>
          <w:lang w:eastAsia="it-IT"/>
        </w:rPr>
        <w:br/>
        <w:t>Tanto è vero che, coerentemente con tale scelta di base, il Comune ha:</w:t>
      </w:r>
      <w:r w:rsidRPr="001839E3">
        <w:rPr>
          <w:rFonts w:ascii="Times New Roman" w:eastAsia="Times New Roman" w:hAnsi="Times New Roman" w:cs="Times New Roman"/>
          <w:color w:val="3D3B39"/>
          <w:lang w:eastAsia="it-IT"/>
        </w:rPr>
        <w:br/>
        <w:t>pubblicato una manifestazione di interesse;</w:t>
      </w:r>
      <w:r w:rsidRPr="001839E3">
        <w:rPr>
          <w:rFonts w:ascii="Times New Roman" w:eastAsia="Times New Roman" w:hAnsi="Times New Roman" w:cs="Times New Roman"/>
          <w:color w:val="3D3B39"/>
          <w:lang w:eastAsia="it-IT"/>
        </w:rPr>
        <w:br/>
        <w:t>invitato tutte le imprese che detto interesse avevano manifestato;</w:t>
      </w:r>
      <w:r w:rsidRPr="001839E3">
        <w:rPr>
          <w:rFonts w:ascii="Times New Roman" w:eastAsia="Times New Roman" w:hAnsi="Times New Roman" w:cs="Times New Roman"/>
          <w:color w:val="3D3B39"/>
          <w:lang w:eastAsia="it-IT"/>
        </w:rPr>
        <w:br/>
        <w:t xml:space="preserve">esaminato le offerte concretamente presentate, nel caso specifico solo due, quella del gestore uscente (cioè la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odierna ricorrente) e quella dell’impresa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nel presente giudizio (cioè la </w:t>
      </w:r>
      <w:proofErr w:type="spellStart"/>
      <w:r w:rsidRPr="001839E3">
        <w:rPr>
          <w:rFonts w:ascii="Times New Roman" w:eastAsia="Times New Roman" w:hAnsi="Times New Roman" w:cs="Times New Roman"/>
          <w:color w:val="3D3B39"/>
          <w:lang w:eastAsia="it-IT"/>
        </w:rPr>
        <w:t>Sosebi</w:t>
      </w:r>
      <w:proofErr w:type="spellEnd"/>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Dalla lettura degli atti procedimentali emerge, inoltre, che la decisione “a monte” di invitare alla gara (anche) il gestore uscente (odierna ricorrente) è stata espressamente ricollegata tanto all’elevato “grado di soddisfazione” riscontrato nella sua precedente gestione (si vedano le deliberazioni 14 novembre 2017 n. 150, e 28 dicembre 2017, n. 242), quanto all’assenza di un numero sufficiente di offerte alternative (si veda la determinazione 20 gennaio 2018, n. 16): l’Amministrazione ha, quindi, correttamente motivato la propria decisione di invitare la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 xml:space="preserve"> proprio in relazione alle due sopra descritte evenienze che in via generale consentono una deroga al generale “divieto di invito” del gestore uscente (si veda, al riguardo, T.A.R. Firenze, Sez. II, 12 giugno 2017, n. 816, secondo cui </w:t>
      </w:r>
      <w:r w:rsidRPr="001839E3">
        <w:rPr>
          <w:rFonts w:ascii="Times New Roman" w:eastAsia="Times New Roman" w:hAnsi="Times New Roman" w:cs="Times New Roman"/>
          <w:i/>
          <w:iCs/>
          <w:color w:val="3D3B39"/>
          <w:lang w:eastAsia="it-IT"/>
        </w:rPr>
        <w:t>“Il principio di rotazione è servente e strumentale rispetto a quello di concorrenza e deve quindi trovare applicazione nei limiti in cui non incida su quest'ultimo; nella specie, poiché all'avviso esplorativo avevano fornito riscontro due operatori di cui uno era il gestore uscente, l'esclusione di quest'ultimo avrebbe limitato e non promosso la concorrenza nel mercato</w:t>
      </w:r>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In tale contesto di fondo il Collegio reputa meritevoli di accoglimento le censure mosse dalla ricorrente avverso la successiva decisione del Comune di affidare il servizio alla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pur avendo ritenuto l’offerta dell’uscente, ancorché di poco, più conveniente.</w:t>
      </w:r>
      <w:r w:rsidRPr="001839E3">
        <w:rPr>
          <w:rFonts w:ascii="Times New Roman" w:eastAsia="Times New Roman" w:hAnsi="Times New Roman" w:cs="Times New Roman"/>
          <w:color w:val="3D3B39"/>
          <w:lang w:eastAsia="it-IT"/>
        </w:rPr>
        <w:br/>
        <w:t xml:space="preserve">In questo modo, infatti, il Comune resistente ha sostanzialmente violato l’art. 36, comma 2, </w:t>
      </w:r>
      <w:proofErr w:type="spellStart"/>
      <w:r w:rsidRPr="001839E3">
        <w:rPr>
          <w:rFonts w:ascii="Times New Roman" w:eastAsia="Times New Roman" w:hAnsi="Times New Roman" w:cs="Times New Roman"/>
          <w:color w:val="3D3B39"/>
          <w:lang w:eastAsia="it-IT"/>
        </w:rPr>
        <w:t>lett</w:t>
      </w:r>
      <w:proofErr w:type="spellEnd"/>
      <w:r w:rsidRPr="001839E3">
        <w:rPr>
          <w:rFonts w:ascii="Times New Roman" w:eastAsia="Times New Roman" w:hAnsi="Times New Roman" w:cs="Times New Roman"/>
          <w:color w:val="3D3B39"/>
          <w:lang w:eastAsia="it-IT"/>
        </w:rPr>
        <w:t xml:space="preserve">. b), del Codice dei contratti pubblici -come detto applicabile al caso in esame per effetto della scelta </w:t>
      </w:r>
      <w:proofErr w:type="spellStart"/>
      <w:r w:rsidRPr="001839E3">
        <w:rPr>
          <w:rFonts w:ascii="Times New Roman" w:eastAsia="Times New Roman" w:hAnsi="Times New Roman" w:cs="Times New Roman"/>
          <w:color w:val="3D3B39"/>
          <w:lang w:eastAsia="it-IT"/>
        </w:rPr>
        <w:t>autovincolante</w:t>
      </w:r>
      <w:proofErr w:type="spellEnd"/>
      <w:r w:rsidRPr="001839E3">
        <w:rPr>
          <w:rFonts w:ascii="Times New Roman" w:eastAsia="Times New Roman" w:hAnsi="Times New Roman" w:cs="Times New Roman"/>
          <w:color w:val="3D3B39"/>
          <w:lang w:eastAsia="it-IT"/>
        </w:rPr>
        <w:t xml:space="preserve"> di procedere al confronto tra offerte- sotto i seguenti profili:</w:t>
      </w:r>
      <w:r w:rsidRPr="001839E3">
        <w:rPr>
          <w:rFonts w:ascii="Times New Roman" w:eastAsia="Times New Roman" w:hAnsi="Times New Roman" w:cs="Times New Roman"/>
          <w:color w:val="3D3B39"/>
          <w:lang w:eastAsia="it-IT"/>
        </w:rPr>
        <w:br/>
        <w:t xml:space="preserve">la rotazione è stata operata, invece che sugli inviti come prevede la </w:t>
      </w:r>
      <w:proofErr w:type="spellStart"/>
      <w:r w:rsidRPr="001839E3">
        <w:rPr>
          <w:rFonts w:ascii="Times New Roman" w:eastAsia="Times New Roman" w:hAnsi="Times New Roman" w:cs="Times New Roman"/>
          <w:color w:val="3D3B39"/>
          <w:lang w:eastAsia="it-IT"/>
        </w:rPr>
        <w:t>lett</w:t>
      </w:r>
      <w:proofErr w:type="spellEnd"/>
      <w:r w:rsidRPr="001839E3">
        <w:rPr>
          <w:rFonts w:ascii="Times New Roman" w:eastAsia="Times New Roman" w:hAnsi="Times New Roman" w:cs="Times New Roman"/>
          <w:color w:val="3D3B39"/>
          <w:lang w:eastAsia="it-IT"/>
        </w:rPr>
        <w:t>. b) dell’art. 36, in relazione all’affidamento del servizio;</w:t>
      </w:r>
      <w:r w:rsidRPr="001839E3">
        <w:rPr>
          <w:rFonts w:ascii="Times New Roman" w:eastAsia="Times New Roman" w:hAnsi="Times New Roman" w:cs="Times New Roman"/>
          <w:color w:val="3D3B39"/>
          <w:lang w:eastAsia="it-IT"/>
        </w:rPr>
        <w:br/>
        <w:t>è stata, nella sostanza, “scavalcata” la necessità, normativamente imposta, di prendere in esame l’offerta del gestore uscente, così da (quanto meno) “avvicinarsi” al numero minimo di cinque offerte previsto dalla disposizione sopra richiamata.</w:t>
      </w:r>
      <w:r w:rsidRPr="001839E3">
        <w:rPr>
          <w:rFonts w:ascii="Times New Roman" w:eastAsia="Times New Roman" w:hAnsi="Times New Roman" w:cs="Times New Roman"/>
          <w:color w:val="3D3B39"/>
          <w:lang w:eastAsia="it-IT"/>
        </w:rPr>
        <w:br/>
        <w:t xml:space="preserve">Inoltre il Comune ha assunto una decisione contraddittoria rispetto alla propria scelta “a monte” di invitare alla gara il gestore uscente, ponendosi in contrasto con i criteri operativi dettati dalle Linee Guida A.N.A.C. che, come si è visto, consentivano di derogare al principio di rotazione degli inviti proprio per la necessità di raggiungere il numero minimo di offerte da sottoporre a selezione e per l’elevato grado di soddisfazione maturato in ordine alla pregressa gestione dell’uscente, evenienze entrambe riscontrabili nel caso ora in esame per espressa affermazione dello stesso Comune, che proprio su di esse aveva motivato la propria (corretta) decisione di invitare al confronto anche </w:t>
      </w:r>
      <w:proofErr w:type="spellStart"/>
      <w:r w:rsidRPr="001839E3">
        <w:rPr>
          <w:rFonts w:ascii="Times New Roman" w:eastAsia="Times New Roman" w:hAnsi="Times New Roman" w:cs="Times New Roman"/>
          <w:color w:val="3D3B39"/>
          <w:lang w:eastAsia="it-IT"/>
        </w:rPr>
        <w:t>Sisar</w:t>
      </w:r>
      <w:proofErr w:type="spellEnd"/>
      <w:r w:rsidRPr="001839E3">
        <w:rPr>
          <w:rFonts w:ascii="Times New Roman" w:eastAsia="Times New Roman" w:hAnsi="Times New Roman" w:cs="Times New Roman"/>
          <w:color w:val="3D3B39"/>
          <w:lang w:eastAsia="it-IT"/>
        </w:rPr>
        <w:t>.</w:t>
      </w:r>
      <w:r w:rsidRPr="001839E3">
        <w:rPr>
          <w:rFonts w:ascii="Times New Roman" w:eastAsia="Times New Roman" w:hAnsi="Times New Roman" w:cs="Times New Roman"/>
          <w:color w:val="3D3B39"/>
          <w:lang w:eastAsia="it-IT"/>
        </w:rPr>
        <w:br/>
        <w:t xml:space="preserve">Si osserva, infine, a ulteriore fondamento di quanto sin qui esposto, che il </w:t>
      </w:r>
      <w:r w:rsidRPr="001839E3">
        <w:rPr>
          <w:rFonts w:ascii="Times New Roman" w:eastAsia="Times New Roman" w:hAnsi="Times New Roman" w:cs="Times New Roman"/>
          <w:i/>
          <w:iCs/>
          <w:color w:val="3D3B39"/>
          <w:lang w:eastAsia="it-IT"/>
        </w:rPr>
        <w:t>modus operandi</w:t>
      </w:r>
      <w:r w:rsidRPr="001839E3">
        <w:rPr>
          <w:rFonts w:ascii="Times New Roman" w:eastAsia="Times New Roman" w:hAnsi="Times New Roman" w:cs="Times New Roman"/>
          <w:color w:val="3D3B39"/>
          <w:lang w:eastAsia="it-IT"/>
        </w:rPr>
        <w:t xml:space="preserve"> della stazione appaltante si pone in evidente contrasto con l’esigenza di tutelare l’affidamento maturato dalla ricorrente, la quale era stata formalmente invitata alla selezione dopo avere manifestato il proprio interesse a seguito di un “avviso aperto” proprio a questo finalizzato, il che, peraltro, costituiva una significativa garanzia di trasparenza e apertura del mercato, di per sé idonea a limitare l’operatività del principio di rotazione: si </w:t>
      </w:r>
      <w:r w:rsidRPr="001839E3">
        <w:rPr>
          <w:rFonts w:ascii="Times New Roman" w:eastAsia="Times New Roman" w:hAnsi="Times New Roman" w:cs="Times New Roman"/>
          <w:color w:val="3D3B39"/>
          <w:lang w:eastAsia="it-IT"/>
        </w:rPr>
        <w:lastRenderedPageBreak/>
        <w:t xml:space="preserve">vedano, al riguardo, le Linee Guida recentemente approvate dall’A.N.A.C. con deliberazione 1 marzo 2018, n. 206, le quali -seppur non direttamente applicabili al caso specifico </w:t>
      </w:r>
      <w:proofErr w:type="spellStart"/>
      <w:r w:rsidRPr="001839E3">
        <w:rPr>
          <w:rFonts w:ascii="Times New Roman" w:eastAsia="Times New Roman" w:hAnsi="Times New Roman" w:cs="Times New Roman"/>
          <w:i/>
          <w:iCs/>
          <w:color w:val="3D3B39"/>
          <w:lang w:eastAsia="it-IT"/>
        </w:rPr>
        <w:t>ratione</w:t>
      </w:r>
      <w:proofErr w:type="spellEnd"/>
      <w:r w:rsidRPr="001839E3">
        <w:rPr>
          <w:rFonts w:ascii="Times New Roman" w:eastAsia="Times New Roman" w:hAnsi="Times New Roman" w:cs="Times New Roman"/>
          <w:i/>
          <w:iCs/>
          <w:color w:val="3D3B39"/>
          <w:lang w:eastAsia="it-IT"/>
        </w:rPr>
        <w:t xml:space="preserve"> </w:t>
      </w:r>
      <w:proofErr w:type="spellStart"/>
      <w:r w:rsidRPr="001839E3">
        <w:rPr>
          <w:rFonts w:ascii="Times New Roman" w:eastAsia="Times New Roman" w:hAnsi="Times New Roman" w:cs="Times New Roman"/>
          <w:i/>
          <w:iCs/>
          <w:color w:val="3D3B39"/>
          <w:lang w:eastAsia="it-IT"/>
        </w:rPr>
        <w:t>temporis</w:t>
      </w:r>
      <w:proofErr w:type="spellEnd"/>
      <w:r w:rsidRPr="001839E3">
        <w:rPr>
          <w:rFonts w:ascii="Times New Roman" w:eastAsia="Times New Roman" w:hAnsi="Times New Roman" w:cs="Times New Roman"/>
          <w:color w:val="3D3B39"/>
          <w:lang w:eastAsia="it-IT"/>
        </w:rPr>
        <w:t xml:space="preserve">- costituiscono significativo indice del modo in cui deve essere correttamente applicato il canone di rotazione, così da renderlo compatibile con altri valori di ordinamentali certamente significativi; si legge, infatti, in queste ultime Linee Guida, che il principio di rotazione </w:t>
      </w:r>
      <w:r w:rsidRPr="001839E3">
        <w:rPr>
          <w:rFonts w:ascii="Times New Roman" w:eastAsia="Times New Roman" w:hAnsi="Times New Roman" w:cs="Times New Roman"/>
          <w:i/>
          <w:iCs/>
          <w:color w:val="3D3B39"/>
          <w:lang w:eastAsia="it-IT"/>
        </w:rPr>
        <w:t>“non si applica laddove il nuovo affidamento avvenga tramite procedure ordinarie o comunque aperte al mercato, nelle quali la stazione appaltante, in virtù di regole prestabilite dal Codice dei contratti pubblici ovvero dalla stessa in caso di indagini di mercato o consultazione di elenchi, non operi alcuna limitazione in ordine al numero di operatori economici tra i quali effettuare la selezione</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Per quanto premesso il ricorso va accolto, con il conseguente annullamento degli atti impugnati, la dichiarazione di inefficacia del contratto </w:t>
      </w:r>
      <w:r w:rsidRPr="001839E3">
        <w:rPr>
          <w:rFonts w:ascii="Times New Roman" w:eastAsia="Times New Roman" w:hAnsi="Times New Roman" w:cs="Times New Roman"/>
          <w:i/>
          <w:iCs/>
          <w:color w:val="3D3B39"/>
          <w:lang w:eastAsia="it-IT"/>
        </w:rPr>
        <w:t>medio tempore</w:t>
      </w:r>
      <w:r w:rsidRPr="001839E3">
        <w:rPr>
          <w:rFonts w:ascii="Times New Roman" w:eastAsia="Times New Roman" w:hAnsi="Times New Roman" w:cs="Times New Roman"/>
          <w:color w:val="3D3B39"/>
          <w:lang w:eastAsia="it-IT"/>
        </w:rPr>
        <w:t xml:space="preserve"> stipulato con 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e il subentro della ricorrente nel relativo rapporto contrattuale.</w:t>
      </w:r>
      <w:r w:rsidRPr="001839E3">
        <w:rPr>
          <w:rFonts w:ascii="Times New Roman" w:eastAsia="Times New Roman" w:hAnsi="Times New Roman" w:cs="Times New Roman"/>
          <w:color w:val="3D3B39"/>
          <w:lang w:eastAsia="it-IT"/>
        </w:rPr>
        <w:br/>
        <w:t>Sussistono, comunque, giusti motivi per l’integrale compensazione delle spese di lite, in ragione della particolare novità e peculiarità della questione giuridica implicata.</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P.Q.M.</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Il Tribunale Amministrativo Regionale per la Sardegna (Sezione Prima), definitivamente pronunciando, accoglie il ricorso in epigrafe proposto e, per l’effetto, annulla gli atti impugnati, dichiara inefficace il contratto stipulato con 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e dispone il subentro della ricorrente nel relativo rapporto.</w:t>
      </w:r>
      <w:r w:rsidRPr="001839E3">
        <w:rPr>
          <w:rFonts w:ascii="Times New Roman" w:eastAsia="Times New Roman" w:hAnsi="Times New Roman" w:cs="Times New Roman"/>
          <w:color w:val="3D3B39"/>
          <w:lang w:eastAsia="it-IT"/>
        </w:rPr>
        <w:br/>
        <w:t>Spese compensate.</w:t>
      </w:r>
      <w:r w:rsidRPr="001839E3">
        <w:rPr>
          <w:rFonts w:ascii="Times New Roman" w:eastAsia="Times New Roman" w:hAnsi="Times New Roman" w:cs="Times New Roman"/>
          <w:color w:val="3D3B39"/>
          <w:lang w:eastAsia="it-IT"/>
        </w:rPr>
        <w:br/>
        <w:t>Ordina che la presente sentenza sia eseguita dall'autorità amministrativa.</w:t>
      </w:r>
      <w:r w:rsidRPr="001839E3">
        <w:rPr>
          <w:rFonts w:ascii="Times New Roman" w:eastAsia="Times New Roman" w:hAnsi="Times New Roman" w:cs="Times New Roman"/>
          <w:color w:val="3D3B39"/>
          <w:lang w:eastAsia="it-IT"/>
        </w:rPr>
        <w:br/>
        <w:t>Così deciso in Cagliari nella camera di consiglio del giorno 4 aprile 2018 con l'intervento dei magistrati:</w:t>
      </w:r>
      <w:r w:rsidRPr="001839E3">
        <w:rPr>
          <w:rFonts w:ascii="Times New Roman" w:eastAsia="Times New Roman" w:hAnsi="Times New Roman" w:cs="Times New Roman"/>
          <w:color w:val="3D3B39"/>
          <w:lang w:eastAsia="it-IT"/>
        </w:rPr>
        <w:br/>
        <w:t>Caro Lucrezio Monticelli, Presidente</w:t>
      </w:r>
      <w:r w:rsidRPr="001839E3">
        <w:rPr>
          <w:rFonts w:ascii="Times New Roman" w:eastAsia="Times New Roman" w:hAnsi="Times New Roman" w:cs="Times New Roman"/>
          <w:color w:val="3D3B39"/>
          <w:lang w:eastAsia="it-IT"/>
        </w:rPr>
        <w:br/>
        <w:t xml:space="preserve">Antonio </w:t>
      </w:r>
      <w:proofErr w:type="spellStart"/>
      <w:r w:rsidRPr="001839E3">
        <w:rPr>
          <w:rFonts w:ascii="Times New Roman" w:eastAsia="Times New Roman" w:hAnsi="Times New Roman" w:cs="Times New Roman"/>
          <w:color w:val="3D3B39"/>
          <w:lang w:eastAsia="it-IT"/>
        </w:rPr>
        <w:t>Plaisant</w:t>
      </w:r>
      <w:proofErr w:type="spellEnd"/>
      <w:r w:rsidRPr="001839E3">
        <w:rPr>
          <w:rFonts w:ascii="Times New Roman" w:eastAsia="Times New Roman" w:hAnsi="Times New Roman" w:cs="Times New Roman"/>
          <w:color w:val="3D3B39"/>
          <w:lang w:eastAsia="it-IT"/>
        </w:rPr>
        <w:t>, Consigliere, Estensore</w:t>
      </w:r>
      <w:r w:rsidRPr="001839E3">
        <w:rPr>
          <w:rFonts w:ascii="Times New Roman" w:eastAsia="Times New Roman" w:hAnsi="Times New Roman" w:cs="Times New Roman"/>
          <w:color w:val="3D3B39"/>
          <w:lang w:eastAsia="it-IT"/>
        </w:rPr>
        <w:br/>
        <w:t>Gianluca Rovelli, Consigliere</w:t>
      </w: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Pr="006A4D7A" w:rsidRDefault="001839E3" w:rsidP="001839E3">
      <w:pPr>
        <w:spacing w:after="225" w:line="240" w:lineRule="auto"/>
        <w:outlineLvl w:val="2"/>
        <w:rPr>
          <w:rFonts w:ascii="Times New Roman" w:eastAsia="Times New Roman" w:hAnsi="Times New Roman" w:cs="Times New Roman"/>
          <w:b/>
          <w:bCs/>
          <w:caps/>
          <w:color w:val="000000"/>
          <w:lang w:eastAsia="it-IT"/>
        </w:rPr>
      </w:pPr>
    </w:p>
    <w:p w:rsidR="001839E3" w:rsidRDefault="001839E3" w:rsidP="001839E3">
      <w:pPr>
        <w:spacing w:after="225" w:line="240" w:lineRule="auto"/>
        <w:outlineLvl w:val="2"/>
        <w:rPr>
          <w:rFonts w:ascii="PT Serif" w:eastAsia="Times New Roman" w:hAnsi="PT Serif" w:cs="Helvetica"/>
          <w:b/>
          <w:bCs/>
          <w:caps/>
          <w:color w:val="000000"/>
          <w:sz w:val="26"/>
          <w:szCs w:val="26"/>
          <w:lang w:eastAsia="it-IT"/>
        </w:rPr>
      </w:pPr>
    </w:p>
    <w:p w:rsidR="001839E3" w:rsidRDefault="001839E3" w:rsidP="001839E3">
      <w:pPr>
        <w:spacing w:after="225" w:line="240" w:lineRule="auto"/>
        <w:outlineLvl w:val="2"/>
        <w:rPr>
          <w:rFonts w:ascii="PT Serif" w:eastAsia="Times New Roman" w:hAnsi="PT Serif" w:cs="Helvetica"/>
          <w:b/>
          <w:bCs/>
          <w:caps/>
          <w:color w:val="000000"/>
          <w:sz w:val="26"/>
          <w:szCs w:val="26"/>
          <w:lang w:eastAsia="it-IT"/>
        </w:rPr>
      </w:pPr>
    </w:p>
    <w:p w:rsidR="001839E3" w:rsidRDefault="001839E3" w:rsidP="001839E3">
      <w:pPr>
        <w:spacing w:after="225" w:line="240" w:lineRule="auto"/>
        <w:outlineLvl w:val="2"/>
        <w:rPr>
          <w:rFonts w:ascii="PT Serif" w:eastAsia="Times New Roman" w:hAnsi="PT Serif" w:cs="Helvetica"/>
          <w:b/>
          <w:bCs/>
          <w:caps/>
          <w:color w:val="000000"/>
          <w:sz w:val="26"/>
          <w:szCs w:val="26"/>
          <w:lang w:eastAsia="it-IT"/>
        </w:rPr>
      </w:pPr>
    </w:p>
    <w:p w:rsidR="001839E3" w:rsidRDefault="001839E3" w:rsidP="001839E3">
      <w:pPr>
        <w:spacing w:after="225" w:line="240" w:lineRule="auto"/>
        <w:outlineLvl w:val="2"/>
        <w:rPr>
          <w:rFonts w:ascii="PT Serif" w:eastAsia="Times New Roman" w:hAnsi="PT Serif" w:cs="Helvetica"/>
          <w:b/>
          <w:bCs/>
          <w:caps/>
          <w:color w:val="000000"/>
          <w:sz w:val="26"/>
          <w:szCs w:val="26"/>
          <w:lang w:eastAsia="it-IT"/>
        </w:rPr>
      </w:pPr>
    </w:p>
    <w:p w:rsidR="001839E3" w:rsidRDefault="001839E3" w:rsidP="001839E3">
      <w:pPr>
        <w:spacing w:after="225" w:line="240" w:lineRule="auto"/>
        <w:outlineLvl w:val="2"/>
        <w:rPr>
          <w:rFonts w:ascii="PT Serif" w:eastAsia="Times New Roman" w:hAnsi="PT Serif" w:cs="Helvetica"/>
          <w:b/>
          <w:bCs/>
          <w:caps/>
          <w:color w:val="000000"/>
          <w:sz w:val="26"/>
          <w:szCs w:val="26"/>
          <w:lang w:eastAsia="it-IT"/>
        </w:rPr>
      </w:pPr>
    </w:p>
    <w:p w:rsidR="001839E3" w:rsidRDefault="001839E3" w:rsidP="001839E3">
      <w:pPr>
        <w:spacing w:after="225" w:line="240" w:lineRule="auto"/>
        <w:outlineLvl w:val="2"/>
        <w:rPr>
          <w:rFonts w:ascii="PT Serif" w:eastAsia="Times New Roman" w:hAnsi="PT Serif" w:cs="Helvetica"/>
          <w:b/>
          <w:bCs/>
          <w:caps/>
          <w:color w:val="000000"/>
          <w:sz w:val="26"/>
          <w:szCs w:val="26"/>
          <w:lang w:eastAsia="it-IT"/>
        </w:rPr>
      </w:pPr>
    </w:p>
    <w:p w:rsidR="001839E3" w:rsidRPr="001839E3" w:rsidRDefault="001839E3" w:rsidP="001839E3">
      <w:pPr>
        <w:spacing w:after="265" w:line="240" w:lineRule="auto"/>
        <w:jc w:val="right"/>
        <w:rPr>
          <w:rFonts w:ascii="Times New Roman" w:eastAsia="Times New Roman" w:hAnsi="Times New Roman" w:cs="Times New Roman"/>
          <w:color w:val="3D3B39"/>
          <w:lang w:eastAsia="it-IT"/>
        </w:rPr>
      </w:pPr>
      <w:r w:rsidRPr="001839E3">
        <w:rPr>
          <w:rFonts w:ascii="PT Serif" w:eastAsia="Times New Roman" w:hAnsi="PT Serif" w:cs="Helvetica"/>
          <w:b/>
          <w:bCs/>
          <w:color w:val="3D3B39"/>
          <w:sz w:val="21"/>
          <w:szCs w:val="21"/>
          <w:lang w:eastAsia="it-IT"/>
        </w:rPr>
        <w:lastRenderedPageBreak/>
        <w:t>N</w:t>
      </w:r>
      <w:r w:rsidRPr="001839E3">
        <w:rPr>
          <w:rFonts w:ascii="Times New Roman" w:eastAsia="Times New Roman" w:hAnsi="Times New Roman" w:cs="Times New Roman"/>
          <w:b/>
          <w:bCs/>
          <w:color w:val="3D3B39"/>
          <w:lang w:eastAsia="it-IT"/>
        </w:rPr>
        <w:t>. 00284/2018 REG.PROV.COLL.</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N. 00161/2018 REG.RIC.</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REPUBBLICA ITALIANA</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IN NOME DEL POPOLO ITALIANO</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Il Tribunale Amministrativo Regionale per il Lazio</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b/>
          <w:bCs/>
          <w:color w:val="3D3B39"/>
          <w:lang w:eastAsia="it-IT"/>
        </w:rPr>
        <w:t>sezione staccata di Latina (Sezione Prima)</w:t>
      </w:r>
      <w:r w:rsidRPr="001839E3">
        <w:rPr>
          <w:rFonts w:ascii="Times New Roman" w:eastAsia="Times New Roman" w:hAnsi="Times New Roman" w:cs="Times New Roman"/>
          <w:color w:val="3D3B39"/>
          <w:lang w:eastAsia="it-IT"/>
        </w:rPr>
        <w:t xml:space="preserv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ha pronunciato la presente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SENTENZA</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sul ricorso numero di registro generale 161 del 2018, integrato da motivi aggiunti, proposto da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Cedils</w:t>
      </w:r>
      <w:proofErr w:type="spellEnd"/>
      <w:r w:rsidRPr="001839E3">
        <w:rPr>
          <w:rFonts w:ascii="Times New Roman" w:eastAsia="Times New Roman" w:hAnsi="Times New Roman" w:cs="Times New Roman"/>
          <w:color w:val="3D3B39"/>
          <w:lang w:eastAsia="it-IT"/>
        </w:rPr>
        <w:t xml:space="preserve"> S.r.l., in persona del legale rappresentante pro tempore, rappresentato e difeso dall'avvocato Fabio Raponi, con domicilio digitale come da PEC da Registri di Giustizia e domicilio eletto presso il suo studio in Latina, corso Giacomo Matteotti n. 208;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i/>
          <w:iCs/>
          <w:color w:val="3D3B39"/>
          <w:lang w:eastAsia="it-IT"/>
        </w:rPr>
        <w:t>contro</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Acqualatina</w:t>
      </w:r>
      <w:proofErr w:type="spellEnd"/>
      <w:r w:rsidRPr="001839E3">
        <w:rPr>
          <w:rFonts w:ascii="Times New Roman" w:eastAsia="Times New Roman" w:hAnsi="Times New Roman" w:cs="Times New Roman"/>
          <w:color w:val="3D3B39"/>
          <w:lang w:eastAsia="it-IT"/>
        </w:rPr>
        <w:t xml:space="preserve"> S.p.A., in persona del legale rappresentante pro tempore, rappresentato e difeso dagli avvocati Alfredo Zaza D'</w:t>
      </w:r>
      <w:proofErr w:type="spellStart"/>
      <w:r w:rsidRPr="001839E3">
        <w:rPr>
          <w:rFonts w:ascii="Times New Roman" w:eastAsia="Times New Roman" w:hAnsi="Times New Roman" w:cs="Times New Roman"/>
          <w:color w:val="3D3B39"/>
          <w:lang w:eastAsia="it-IT"/>
        </w:rPr>
        <w:t>Aulisio</w:t>
      </w:r>
      <w:proofErr w:type="spellEnd"/>
      <w:r w:rsidRPr="001839E3">
        <w:rPr>
          <w:rFonts w:ascii="Times New Roman" w:eastAsia="Times New Roman" w:hAnsi="Times New Roman" w:cs="Times New Roman"/>
          <w:color w:val="3D3B39"/>
          <w:lang w:eastAsia="it-IT"/>
        </w:rPr>
        <w:t xml:space="preserve"> e Tiziana </w:t>
      </w:r>
      <w:proofErr w:type="spellStart"/>
      <w:r w:rsidRPr="001839E3">
        <w:rPr>
          <w:rFonts w:ascii="Times New Roman" w:eastAsia="Times New Roman" w:hAnsi="Times New Roman" w:cs="Times New Roman"/>
          <w:color w:val="3D3B39"/>
          <w:lang w:eastAsia="it-IT"/>
        </w:rPr>
        <w:t>Ferrantini</w:t>
      </w:r>
      <w:proofErr w:type="spellEnd"/>
      <w:r w:rsidRPr="001839E3">
        <w:rPr>
          <w:rFonts w:ascii="Times New Roman" w:eastAsia="Times New Roman" w:hAnsi="Times New Roman" w:cs="Times New Roman"/>
          <w:color w:val="3D3B39"/>
          <w:lang w:eastAsia="it-IT"/>
        </w:rPr>
        <w:t>, con domicilio digitale come da PEC da Registri di Giustizia e domicilio eletto presso lo studio del primo in Gaeta, Salita Casa Tosti, n. 2;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i/>
          <w:iCs/>
          <w:color w:val="3D3B39"/>
          <w:lang w:eastAsia="it-IT"/>
        </w:rPr>
        <w:t>nei confronti</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Impresa Edile - Idraulica - Stradale di Salvatore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in persona del legale rappresentante pro tempore, rappresentato e difeso dall'avvocato Mariangela Di Giandomenico, con domicilio digitale come da PEC da Registri di Giustizia e domicilio eletto presso il suo studio in Fondi, piazza Giuseppe De </w:t>
      </w:r>
      <w:proofErr w:type="spellStart"/>
      <w:r w:rsidRPr="001839E3">
        <w:rPr>
          <w:rFonts w:ascii="Times New Roman" w:eastAsia="Times New Roman" w:hAnsi="Times New Roman" w:cs="Times New Roman"/>
          <w:color w:val="3D3B39"/>
          <w:lang w:eastAsia="it-IT"/>
        </w:rPr>
        <w:t>Santis</w:t>
      </w:r>
      <w:proofErr w:type="spellEnd"/>
      <w:r w:rsidRPr="001839E3">
        <w:rPr>
          <w:rFonts w:ascii="Times New Roman" w:eastAsia="Times New Roman" w:hAnsi="Times New Roman" w:cs="Times New Roman"/>
          <w:color w:val="3D3B39"/>
          <w:lang w:eastAsia="it-IT"/>
        </w:rPr>
        <w:t xml:space="preserve"> n. 6; </w:t>
      </w:r>
      <w:r w:rsidRPr="001839E3">
        <w:rPr>
          <w:rFonts w:ascii="Times New Roman" w:eastAsia="Times New Roman" w:hAnsi="Times New Roman" w:cs="Times New Roman"/>
          <w:color w:val="3D3B39"/>
          <w:lang w:eastAsia="it-IT"/>
        </w:rPr>
        <w:br/>
        <w:t xml:space="preserve">RTI Costituendo Carcone Arch. Giuseppe S.r.l. ed </w:t>
      </w:r>
      <w:proofErr w:type="spellStart"/>
      <w:r w:rsidRPr="001839E3">
        <w:rPr>
          <w:rFonts w:ascii="Times New Roman" w:eastAsia="Times New Roman" w:hAnsi="Times New Roman" w:cs="Times New Roman"/>
          <w:color w:val="3D3B39"/>
          <w:lang w:eastAsia="it-IT"/>
        </w:rPr>
        <w:t>Euroscavi</w:t>
      </w:r>
      <w:proofErr w:type="spellEnd"/>
      <w:r w:rsidRPr="001839E3">
        <w:rPr>
          <w:rFonts w:ascii="Times New Roman" w:eastAsia="Times New Roman" w:hAnsi="Times New Roman" w:cs="Times New Roman"/>
          <w:color w:val="3D3B39"/>
          <w:lang w:eastAsia="it-IT"/>
        </w:rPr>
        <w:t>, in persona del legale rappresentante p. t., non costituito in giudizio;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i/>
          <w:iCs/>
          <w:color w:val="3D3B39"/>
          <w:lang w:eastAsia="it-IT"/>
        </w:rPr>
        <w:t>per l'annullamento,</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i/>
          <w:iCs/>
          <w:color w:val="3D3B39"/>
          <w:lang w:eastAsia="it-IT"/>
        </w:rPr>
        <w:t>previa sospensiva,</w:t>
      </w:r>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degli atti e provvedimenti relativi alla procedura aperta indetta da </w:t>
      </w:r>
      <w:proofErr w:type="spellStart"/>
      <w:r w:rsidRPr="001839E3">
        <w:rPr>
          <w:rFonts w:ascii="Times New Roman" w:eastAsia="Times New Roman" w:hAnsi="Times New Roman" w:cs="Times New Roman"/>
          <w:color w:val="3D3B39"/>
          <w:lang w:eastAsia="it-IT"/>
        </w:rPr>
        <w:t>Acqualatina</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s.p.a.</w:t>
      </w:r>
      <w:proofErr w:type="spellEnd"/>
      <w:r w:rsidRPr="001839E3">
        <w:rPr>
          <w:rFonts w:ascii="Times New Roman" w:eastAsia="Times New Roman" w:hAnsi="Times New Roman" w:cs="Times New Roman"/>
          <w:color w:val="3D3B39"/>
          <w:lang w:eastAsia="it-IT"/>
        </w:rPr>
        <w:t xml:space="preserve"> per l'affidamento dei lavori di risanamento delle reti idriche e degli impianti ad esse connesse nei comuni di Formia e Minturno - Rif. </w:t>
      </w:r>
      <w:proofErr w:type="spellStart"/>
      <w:r w:rsidRPr="001839E3">
        <w:rPr>
          <w:rFonts w:ascii="Times New Roman" w:eastAsia="Times New Roman" w:hAnsi="Times New Roman" w:cs="Times New Roman"/>
          <w:color w:val="3D3B39"/>
          <w:lang w:eastAsia="it-IT"/>
        </w:rPr>
        <w:t>Prat</w:t>
      </w:r>
      <w:proofErr w:type="spellEnd"/>
      <w:r w:rsidRPr="001839E3">
        <w:rPr>
          <w:rFonts w:ascii="Times New Roman" w:eastAsia="Times New Roman" w:hAnsi="Times New Roman" w:cs="Times New Roman"/>
          <w:color w:val="3D3B39"/>
          <w:lang w:eastAsia="it-IT"/>
        </w:rPr>
        <w:t xml:space="preserve">. n. 17_0011, Lotto 1 (Comune di Formia) – Codice CIG 7080831696 pubblicata sulla GURI n. 57 del 19/05/2017, fra i quali in particolare: </w:t>
      </w:r>
      <w:r w:rsidRPr="001839E3">
        <w:rPr>
          <w:rFonts w:ascii="Times New Roman" w:eastAsia="Times New Roman" w:hAnsi="Times New Roman" w:cs="Times New Roman"/>
          <w:color w:val="3D3B39"/>
          <w:lang w:eastAsia="it-IT"/>
        </w:rPr>
        <w:br/>
        <w:t xml:space="preserve">- l’aggiudicazione definitiva disposta in favore dell’Impresa Salvatore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con nota del 23/01/2018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n. 20180-1711 - e la sua conseguente approvazione - comunicata con nota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1754 del 23 gennaio 2018; </w:t>
      </w:r>
      <w:r w:rsidRPr="001839E3">
        <w:rPr>
          <w:rFonts w:ascii="Times New Roman" w:eastAsia="Times New Roman" w:hAnsi="Times New Roman" w:cs="Times New Roman"/>
          <w:color w:val="3D3B39"/>
          <w:lang w:eastAsia="it-IT"/>
        </w:rPr>
        <w:br/>
        <w:t xml:space="preserve">- ogni altro atto presupposto, connesso e conseguente, ivi inclusi: </w:t>
      </w:r>
      <w:r w:rsidRPr="001839E3">
        <w:rPr>
          <w:rFonts w:ascii="Times New Roman" w:eastAsia="Times New Roman" w:hAnsi="Times New Roman" w:cs="Times New Roman"/>
          <w:color w:val="3D3B39"/>
          <w:lang w:eastAsia="it-IT"/>
        </w:rPr>
        <w:br/>
        <w:t xml:space="preserve">- tutti i verbali di gara nelle parti lesive; </w:t>
      </w:r>
      <w:r w:rsidRPr="001839E3">
        <w:rPr>
          <w:rFonts w:ascii="Times New Roman" w:eastAsia="Times New Roman" w:hAnsi="Times New Roman" w:cs="Times New Roman"/>
          <w:color w:val="3D3B39"/>
          <w:lang w:eastAsia="it-IT"/>
        </w:rPr>
        <w:br/>
        <w:t xml:space="preserve">- gli atti con cui è stato ritenuto concluso con esito positivo il subprocedimento di verifica dell'anomalia dell'offerta presentata dalle </w:t>
      </w:r>
      <w:proofErr w:type="spellStart"/>
      <w:r w:rsidRPr="001839E3">
        <w:rPr>
          <w:rFonts w:ascii="Times New Roman" w:eastAsia="Times New Roman" w:hAnsi="Times New Roman" w:cs="Times New Roman"/>
          <w:color w:val="3D3B39"/>
          <w:lang w:eastAsia="it-IT"/>
        </w:rPr>
        <w:t>controinteressate</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 nelle parti lesive, 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di gara, ivi inclusi il bando, il disciplinare, il capitolato speciale di appalto – tecnico/prestazionale e parte normativa, i relativi allegati, i chiarimenti alla documentazione di gara e ogni altro atto o documento ivi contenuto e/o richiamato; </w:t>
      </w:r>
      <w:r w:rsidRPr="001839E3">
        <w:rPr>
          <w:rFonts w:ascii="Times New Roman" w:eastAsia="Times New Roman" w:hAnsi="Times New Roman" w:cs="Times New Roman"/>
          <w:color w:val="3D3B39"/>
          <w:lang w:eastAsia="it-IT"/>
        </w:rPr>
        <w:br/>
        <w:t xml:space="preserve">per la declaratoria </w:t>
      </w:r>
      <w:r w:rsidRPr="001839E3">
        <w:rPr>
          <w:rFonts w:ascii="Times New Roman" w:eastAsia="Times New Roman" w:hAnsi="Times New Roman" w:cs="Times New Roman"/>
          <w:color w:val="3D3B39"/>
          <w:lang w:eastAsia="it-IT"/>
        </w:rPr>
        <w:br/>
        <w:t xml:space="preserve">di inefficacia dell'Accordo Quadro n. 93 del 14/02/2018 sottoscritto con l’impresa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Salvatore - e di ogni conseguente contratto stipulato con la medesima impresa - e del diritto della ricorrente al subentro nel rapporto anche per il risarcimento in forma specifica; </w:t>
      </w:r>
      <w:r w:rsidRPr="001839E3">
        <w:rPr>
          <w:rFonts w:ascii="Times New Roman" w:eastAsia="Times New Roman" w:hAnsi="Times New Roman" w:cs="Times New Roman"/>
          <w:color w:val="3D3B39"/>
          <w:lang w:eastAsia="it-IT"/>
        </w:rPr>
        <w:br/>
        <w:t xml:space="preserve">per la condanna </w:t>
      </w:r>
      <w:r w:rsidRPr="001839E3">
        <w:rPr>
          <w:rFonts w:ascii="Times New Roman" w:eastAsia="Times New Roman" w:hAnsi="Times New Roman" w:cs="Times New Roman"/>
          <w:color w:val="3D3B39"/>
          <w:lang w:eastAsia="it-IT"/>
        </w:rPr>
        <w:br/>
        <w:t xml:space="preserve">al risarcimento del danno ingiusto </w:t>
      </w:r>
      <w:r w:rsidRPr="001839E3">
        <w:rPr>
          <w:rFonts w:ascii="Times New Roman" w:eastAsia="Times New Roman" w:hAnsi="Times New Roman" w:cs="Times New Roman"/>
          <w:color w:val="3D3B39"/>
          <w:lang w:eastAsia="it-IT"/>
        </w:rPr>
        <w:br/>
        <w:t xml:space="preserve">derivante dagli atti impugnati e dalla condotta della p.a., da disporsi per equivalente e comprensivo anche del danno curriculare, del danno da perdita di chance, del danno all’immagine, oltre che il danno derivante dalla responsabilità precontrattuale; </w:t>
      </w:r>
      <w:r w:rsidRPr="001839E3">
        <w:rPr>
          <w:rFonts w:ascii="Times New Roman" w:eastAsia="Times New Roman" w:hAnsi="Times New Roman" w:cs="Times New Roman"/>
          <w:color w:val="3D3B39"/>
          <w:lang w:eastAsia="it-IT"/>
        </w:rPr>
        <w:br/>
        <w:t xml:space="preserve">nonché, derivante dal ritardo con cui è stato consentito l’accesso ai documenti richiesti ai sensi della l. n. 241/1990. </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lastRenderedPageBreak/>
        <w:t xml:space="preserve">Visti il ricorso, i motivi aggiunti e i relativi allegati; </w:t>
      </w:r>
      <w:r w:rsidRPr="001839E3">
        <w:rPr>
          <w:rFonts w:ascii="Times New Roman" w:eastAsia="Times New Roman" w:hAnsi="Times New Roman" w:cs="Times New Roman"/>
          <w:color w:val="3D3B39"/>
          <w:lang w:eastAsia="it-IT"/>
        </w:rPr>
        <w:br/>
        <w:t xml:space="preserve">Visti gli atti di costituzione in giudizio della </w:t>
      </w:r>
      <w:proofErr w:type="spellStart"/>
      <w:r w:rsidRPr="001839E3">
        <w:rPr>
          <w:rFonts w:ascii="Times New Roman" w:eastAsia="Times New Roman" w:hAnsi="Times New Roman" w:cs="Times New Roman"/>
          <w:color w:val="3D3B39"/>
          <w:lang w:eastAsia="it-IT"/>
        </w:rPr>
        <w:t>Acqualatina</w:t>
      </w:r>
      <w:proofErr w:type="spellEnd"/>
      <w:r w:rsidRPr="001839E3">
        <w:rPr>
          <w:rFonts w:ascii="Times New Roman" w:eastAsia="Times New Roman" w:hAnsi="Times New Roman" w:cs="Times New Roman"/>
          <w:color w:val="3D3B39"/>
          <w:lang w:eastAsia="it-IT"/>
        </w:rPr>
        <w:t xml:space="preserve"> S.p.A. e della Impresa Edile - Idraulica - Stradale di Salvatore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Visti tutti gli atti della causa; </w:t>
      </w:r>
      <w:r w:rsidRPr="001839E3">
        <w:rPr>
          <w:rFonts w:ascii="Times New Roman" w:eastAsia="Times New Roman" w:hAnsi="Times New Roman" w:cs="Times New Roman"/>
          <w:color w:val="3D3B39"/>
          <w:lang w:eastAsia="it-IT"/>
        </w:rPr>
        <w:br/>
        <w:t xml:space="preserve">Relatore nell'udienza pubblica del giorno 24 maggio 2018 il dott. Roberto Maria Bucchi e uditi per le parti i difensori come specificato nel verbale; </w:t>
      </w:r>
      <w:r w:rsidRPr="001839E3">
        <w:rPr>
          <w:rFonts w:ascii="Times New Roman" w:eastAsia="Times New Roman" w:hAnsi="Times New Roman" w:cs="Times New Roman"/>
          <w:color w:val="3D3B39"/>
          <w:lang w:eastAsia="it-IT"/>
        </w:rPr>
        <w:br/>
        <w:t xml:space="preserve">Ritenuto e considerato in fatto e diritto quanto segue.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FATTO e DIRITTO</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1) Con ricorso notificato a mezzo </w:t>
      </w:r>
      <w:proofErr w:type="spellStart"/>
      <w:r w:rsidRPr="001839E3">
        <w:rPr>
          <w:rFonts w:ascii="Times New Roman" w:eastAsia="Times New Roman" w:hAnsi="Times New Roman" w:cs="Times New Roman"/>
          <w:color w:val="3D3B39"/>
          <w:lang w:eastAsia="it-IT"/>
        </w:rPr>
        <w:t>pec</w:t>
      </w:r>
      <w:proofErr w:type="spellEnd"/>
      <w:r w:rsidRPr="001839E3">
        <w:rPr>
          <w:rFonts w:ascii="Times New Roman" w:eastAsia="Times New Roman" w:hAnsi="Times New Roman" w:cs="Times New Roman"/>
          <w:color w:val="3D3B39"/>
          <w:lang w:eastAsia="it-IT"/>
        </w:rPr>
        <w:t xml:space="preserve"> il 22 febbraio 2018 e depositato il successivo giorno 9 marzo la società </w:t>
      </w:r>
      <w:proofErr w:type="spellStart"/>
      <w:r w:rsidRPr="001839E3">
        <w:rPr>
          <w:rFonts w:ascii="Times New Roman" w:eastAsia="Times New Roman" w:hAnsi="Times New Roman" w:cs="Times New Roman"/>
          <w:color w:val="3D3B39"/>
          <w:lang w:eastAsia="it-IT"/>
        </w:rPr>
        <w:t>Cedils</w:t>
      </w:r>
      <w:proofErr w:type="spellEnd"/>
      <w:r w:rsidRPr="001839E3">
        <w:rPr>
          <w:rFonts w:ascii="Times New Roman" w:eastAsia="Times New Roman" w:hAnsi="Times New Roman" w:cs="Times New Roman"/>
          <w:color w:val="3D3B39"/>
          <w:lang w:eastAsia="it-IT"/>
        </w:rPr>
        <w:t xml:space="preserve"> a </w:t>
      </w:r>
      <w:proofErr w:type="spellStart"/>
      <w:r w:rsidRPr="001839E3">
        <w:rPr>
          <w:rFonts w:ascii="Times New Roman" w:eastAsia="Times New Roman" w:hAnsi="Times New Roman" w:cs="Times New Roman"/>
          <w:color w:val="3D3B39"/>
          <w:lang w:eastAsia="it-IT"/>
        </w:rPr>
        <w:t>r.l</w:t>
      </w:r>
      <w:proofErr w:type="spellEnd"/>
      <w:r w:rsidRPr="001839E3">
        <w:rPr>
          <w:rFonts w:ascii="Times New Roman" w:eastAsia="Times New Roman" w:hAnsi="Times New Roman" w:cs="Times New Roman"/>
          <w:color w:val="3D3B39"/>
          <w:lang w:eastAsia="it-IT"/>
        </w:rPr>
        <w:t xml:space="preserve">., classificatasi al terzo posto nella gara indetta da </w:t>
      </w:r>
      <w:proofErr w:type="spellStart"/>
      <w:r w:rsidRPr="001839E3">
        <w:rPr>
          <w:rFonts w:ascii="Times New Roman" w:eastAsia="Times New Roman" w:hAnsi="Times New Roman" w:cs="Times New Roman"/>
          <w:color w:val="3D3B39"/>
          <w:lang w:eastAsia="it-IT"/>
        </w:rPr>
        <w:t>Acqualatina</w:t>
      </w:r>
      <w:proofErr w:type="spellEnd"/>
      <w:r w:rsidRPr="001839E3">
        <w:rPr>
          <w:rFonts w:ascii="Times New Roman" w:eastAsia="Times New Roman" w:hAnsi="Times New Roman" w:cs="Times New Roman"/>
          <w:color w:val="3D3B39"/>
          <w:lang w:eastAsia="it-IT"/>
        </w:rPr>
        <w:t xml:space="preserve"> S.p.a. per l’affidamento dei lavori di risanamento delle reti idriche e degli impianti ad esse connesse nei comuni di Formia e Minturno, ha impugnato gli atti della procedura e, in particolare l’aggiudicazione definitiva disposta in favore dell’Impresa Salvatore con nota del 23.1.2018 comunicata in pari data. </w:t>
      </w:r>
      <w:r w:rsidRPr="001839E3">
        <w:rPr>
          <w:rFonts w:ascii="Times New Roman" w:eastAsia="Times New Roman" w:hAnsi="Times New Roman" w:cs="Times New Roman"/>
          <w:color w:val="3D3B39"/>
          <w:lang w:eastAsia="it-IT"/>
        </w:rPr>
        <w:br/>
        <w:t xml:space="preserve">2) La ricorrente, premesso di avere avuto accesso agli atti il 19 febbraio 2018, deduce a sostegno del gravame la seguente censura con riserva di motivi aggiunti: </w:t>
      </w:r>
      <w:r w:rsidRPr="001839E3">
        <w:rPr>
          <w:rFonts w:ascii="Times New Roman" w:eastAsia="Times New Roman" w:hAnsi="Times New Roman" w:cs="Times New Roman"/>
          <w:color w:val="3D3B39"/>
          <w:lang w:eastAsia="it-IT"/>
        </w:rPr>
        <w:br/>
        <w:t xml:space="preserve">Violazione e falsa applicazione degli artt. 23-24-25-26-27 in combinato disposto con l’art. 216 comma 4 d. </w:t>
      </w:r>
      <w:proofErr w:type="spellStart"/>
      <w:r w:rsidRPr="001839E3">
        <w:rPr>
          <w:rFonts w:ascii="Times New Roman" w:eastAsia="Times New Roman" w:hAnsi="Times New Roman" w:cs="Times New Roman"/>
          <w:color w:val="3D3B39"/>
          <w:lang w:eastAsia="it-IT"/>
        </w:rPr>
        <w:t>lgs</w:t>
      </w:r>
      <w:proofErr w:type="spellEnd"/>
      <w:r w:rsidRPr="001839E3">
        <w:rPr>
          <w:rFonts w:ascii="Times New Roman" w:eastAsia="Times New Roman" w:hAnsi="Times New Roman" w:cs="Times New Roman"/>
          <w:color w:val="3D3B39"/>
          <w:lang w:eastAsia="it-IT"/>
        </w:rPr>
        <w:t xml:space="preserve">. n. 50/2016. Eccesso di potere per manifesta incoerenza. </w:t>
      </w:r>
      <w:r w:rsidRPr="001839E3">
        <w:rPr>
          <w:rFonts w:ascii="Times New Roman" w:eastAsia="Times New Roman" w:hAnsi="Times New Roman" w:cs="Times New Roman"/>
          <w:color w:val="3D3B39"/>
          <w:lang w:eastAsia="it-IT"/>
        </w:rPr>
        <w:br/>
        <w:t xml:space="preserve">Anche in base alle disposizioni transitorie di cui all'art. 216, comma 4, d. </w:t>
      </w:r>
      <w:proofErr w:type="spellStart"/>
      <w:r w:rsidRPr="001839E3">
        <w:rPr>
          <w:rFonts w:ascii="Times New Roman" w:eastAsia="Times New Roman" w:hAnsi="Times New Roman" w:cs="Times New Roman"/>
          <w:color w:val="3D3B39"/>
          <w:lang w:eastAsia="it-IT"/>
        </w:rPr>
        <w:t>lgs</w:t>
      </w:r>
      <w:proofErr w:type="spellEnd"/>
      <w:r w:rsidRPr="001839E3">
        <w:rPr>
          <w:rFonts w:ascii="Times New Roman" w:eastAsia="Times New Roman" w:hAnsi="Times New Roman" w:cs="Times New Roman"/>
          <w:color w:val="3D3B39"/>
          <w:lang w:eastAsia="it-IT"/>
        </w:rPr>
        <w:t xml:space="preserve">. n. 50/2016, lo svolgimento della gara non poteva assolutamente prescindere dall’avvenuta redazione e approvazione del progetto esecutivo (disciplinato dall’art. 23 comma 7, c.c.p. e dagli artt. da 24 a 32 del </w:t>
      </w:r>
      <w:proofErr w:type="spellStart"/>
      <w:r w:rsidRPr="001839E3">
        <w:rPr>
          <w:rFonts w:ascii="Times New Roman" w:eastAsia="Times New Roman" w:hAnsi="Times New Roman" w:cs="Times New Roman"/>
          <w:color w:val="3D3B39"/>
          <w:lang w:eastAsia="it-IT"/>
        </w:rPr>
        <w:t>d.P.R.</w:t>
      </w:r>
      <w:proofErr w:type="spellEnd"/>
      <w:r w:rsidRPr="001839E3">
        <w:rPr>
          <w:rFonts w:ascii="Times New Roman" w:eastAsia="Times New Roman" w:hAnsi="Times New Roman" w:cs="Times New Roman"/>
          <w:color w:val="3D3B39"/>
          <w:lang w:eastAsia="it-IT"/>
        </w:rPr>
        <w:t xml:space="preserve"> n. 207/2010) e, ovviamente, del progetto definitivo (disciplinato dall’art. 23 comma 8, c.c.p. e dagli artt. da 33 a 43 del </w:t>
      </w:r>
      <w:proofErr w:type="spellStart"/>
      <w:r w:rsidRPr="001839E3">
        <w:rPr>
          <w:rFonts w:ascii="Times New Roman" w:eastAsia="Times New Roman" w:hAnsi="Times New Roman" w:cs="Times New Roman"/>
          <w:color w:val="3D3B39"/>
          <w:lang w:eastAsia="it-IT"/>
        </w:rPr>
        <w:t>d.P.R.</w:t>
      </w:r>
      <w:proofErr w:type="spellEnd"/>
      <w:r w:rsidRPr="001839E3">
        <w:rPr>
          <w:rFonts w:ascii="Times New Roman" w:eastAsia="Times New Roman" w:hAnsi="Times New Roman" w:cs="Times New Roman"/>
          <w:color w:val="3D3B39"/>
          <w:lang w:eastAsia="it-IT"/>
        </w:rPr>
        <w:t xml:space="preserve"> n. 207/2010). </w:t>
      </w:r>
      <w:r w:rsidRPr="001839E3">
        <w:rPr>
          <w:rFonts w:ascii="Times New Roman" w:eastAsia="Times New Roman" w:hAnsi="Times New Roman" w:cs="Times New Roman"/>
          <w:color w:val="3D3B39"/>
          <w:lang w:eastAsia="it-IT"/>
        </w:rPr>
        <w:br/>
        <w:t xml:space="preserve">Sennonché nella documentazione a base di gara non sono assolutamente presenti tutti gli elementi essenziali previsti per la progettazione definitiva e/o esecutiva dall’art. 23 c.c.p. e dal </w:t>
      </w:r>
      <w:proofErr w:type="spellStart"/>
      <w:r w:rsidRPr="001839E3">
        <w:rPr>
          <w:rFonts w:ascii="Times New Roman" w:eastAsia="Times New Roman" w:hAnsi="Times New Roman" w:cs="Times New Roman"/>
          <w:color w:val="3D3B39"/>
          <w:lang w:eastAsia="it-IT"/>
        </w:rPr>
        <w:t>d.P.R.</w:t>
      </w:r>
      <w:proofErr w:type="spellEnd"/>
      <w:r w:rsidRPr="001839E3">
        <w:rPr>
          <w:rFonts w:ascii="Times New Roman" w:eastAsia="Times New Roman" w:hAnsi="Times New Roman" w:cs="Times New Roman"/>
          <w:color w:val="3D3B39"/>
          <w:lang w:eastAsia="it-IT"/>
        </w:rPr>
        <w:t xml:space="preserve"> n. 207/2010, presenti invece in altre gare indette da </w:t>
      </w:r>
      <w:proofErr w:type="spellStart"/>
      <w:r w:rsidRPr="001839E3">
        <w:rPr>
          <w:rFonts w:ascii="Times New Roman" w:eastAsia="Times New Roman" w:hAnsi="Times New Roman" w:cs="Times New Roman"/>
          <w:color w:val="3D3B39"/>
          <w:lang w:eastAsia="it-IT"/>
        </w:rPr>
        <w:t>Acqualatina</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t xml:space="preserve">3) Con motivi aggiunti notificati a mezzo </w:t>
      </w:r>
      <w:proofErr w:type="spellStart"/>
      <w:r w:rsidRPr="001839E3">
        <w:rPr>
          <w:rFonts w:ascii="Times New Roman" w:eastAsia="Times New Roman" w:hAnsi="Times New Roman" w:cs="Times New Roman"/>
          <w:color w:val="3D3B39"/>
          <w:lang w:eastAsia="it-IT"/>
        </w:rPr>
        <w:t>pec</w:t>
      </w:r>
      <w:proofErr w:type="spellEnd"/>
      <w:r w:rsidRPr="001839E3">
        <w:rPr>
          <w:rFonts w:ascii="Times New Roman" w:eastAsia="Times New Roman" w:hAnsi="Times New Roman" w:cs="Times New Roman"/>
          <w:color w:val="3D3B39"/>
          <w:lang w:eastAsia="it-IT"/>
        </w:rPr>
        <w:t xml:space="preserve"> il 21 marzo 2018 e depositati il successivo giorno 28, a seguito dell’accesso concluso con la nota di </w:t>
      </w:r>
      <w:proofErr w:type="spellStart"/>
      <w:r w:rsidRPr="001839E3">
        <w:rPr>
          <w:rFonts w:ascii="Times New Roman" w:eastAsia="Times New Roman" w:hAnsi="Times New Roman" w:cs="Times New Roman"/>
          <w:color w:val="3D3B39"/>
          <w:lang w:eastAsia="it-IT"/>
        </w:rPr>
        <w:t>Acqualatina</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5157 del 2 marzo 2018 con la quale sono stati trasmessi i verbali di gara in versione integrale, la ricorrente ha articolato le seguenti ulteriori censure: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I.a</w:t>
      </w:r>
      <w:proofErr w:type="spellEnd"/>
      <w:r w:rsidRPr="001839E3">
        <w:rPr>
          <w:rFonts w:ascii="Times New Roman" w:eastAsia="Times New Roman" w:hAnsi="Times New Roman" w:cs="Times New Roman"/>
          <w:color w:val="3D3B39"/>
          <w:lang w:eastAsia="it-IT"/>
        </w:rPr>
        <w:t xml:space="preserve">) Violazione e falsa applicazione della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ivi inclusi il disciplinare di gara all’art. 8 comma 1 e il capitolato speciale all’art. 13 comma 10. Eccesso di potere per travisamento dei fatti e difetto di istruttoria. </w:t>
      </w:r>
      <w:r w:rsidRPr="001839E3">
        <w:rPr>
          <w:rFonts w:ascii="Times New Roman" w:eastAsia="Times New Roman" w:hAnsi="Times New Roman" w:cs="Times New Roman"/>
          <w:color w:val="3D3B39"/>
          <w:lang w:eastAsia="it-IT"/>
        </w:rPr>
        <w:br/>
        <w:t xml:space="preserve">La ricorrente lamenta la mancata attribuzione di due punti con riguardo al criterio di valutazione delle offerte tecniche descritto sub la lettera “C Quantità e qualità dei mezzi messi a disposizione per lavori stradali (asfaltatura e ripristino pavimentazioni stradali)”, dovuta alla circostanza che la Commissione non si sarebbe avveduta che tra i mezzi elencati dalla stessa nella propria offerta vi erano ben n. 6 mezzi ulteriori rispetto a quelli indicati nel Capitolato Speciale di Appalto - tecnico/prestazionale all’art. 13 comma 10 (pagina 24), che le avrebbero dovuto consentire l’attribuzione di ulteriori n. 2 punti, in modo da poter ottenere il punteggio complessivo di (87,610 + 2) 89,610 e superare quello di 89,312 del primo classificato Impresa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II.a</w:t>
      </w:r>
      <w:proofErr w:type="spellEnd"/>
      <w:r w:rsidRPr="001839E3">
        <w:rPr>
          <w:rFonts w:ascii="Times New Roman" w:eastAsia="Times New Roman" w:hAnsi="Times New Roman" w:cs="Times New Roman"/>
          <w:color w:val="3D3B39"/>
          <w:lang w:eastAsia="it-IT"/>
        </w:rPr>
        <w:t xml:space="preserve">) In via subordinata: Illegittimità della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ivi inclusi il disciplinare di gara all’art. 8 comma 1 e il capitolato speciale all’art. 13 comma 10, ove interpretati in senso restrittivo. Eccesso di potere per manifesta incoerenza anche rispetto all’oggetto dell’appalto. </w:t>
      </w:r>
      <w:r w:rsidRPr="001839E3">
        <w:rPr>
          <w:rFonts w:ascii="Times New Roman" w:eastAsia="Times New Roman" w:hAnsi="Times New Roman" w:cs="Times New Roman"/>
          <w:color w:val="3D3B39"/>
          <w:lang w:eastAsia="it-IT"/>
        </w:rPr>
        <w:br/>
        <w:t xml:space="preserve">In via subordinata, deduce l’illegittimità della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ivi inclusi il disciplinare di gara all’art. 8 comma 1 e il capitolato speciale all’art. 13 comma 10, laddove si dovesse ritenere che in base alla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i n. 4 autocarri con cassone ribaltabile indicati dalla ricorrente non fossero definibili come Dumper o, comunque, non consentissero l’attribuzione, unitamente alla ulteriore vibrofinitrice, di n. 2 punti in base al criterio della lettera C, sub a) dell’art. 8 comma 1.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III.a</w:t>
      </w:r>
      <w:proofErr w:type="spellEnd"/>
      <w:r w:rsidRPr="001839E3">
        <w:rPr>
          <w:rFonts w:ascii="Times New Roman" w:eastAsia="Times New Roman" w:hAnsi="Times New Roman" w:cs="Times New Roman"/>
          <w:color w:val="3D3B39"/>
          <w:lang w:eastAsia="it-IT"/>
        </w:rPr>
        <w:t xml:space="preserve">) In via subordinata: Segue. </w:t>
      </w:r>
      <w:r w:rsidRPr="001839E3">
        <w:rPr>
          <w:rFonts w:ascii="Times New Roman" w:eastAsia="Times New Roman" w:hAnsi="Times New Roman" w:cs="Times New Roman"/>
          <w:color w:val="3D3B39"/>
          <w:lang w:eastAsia="it-IT"/>
        </w:rPr>
        <w:br/>
        <w:t xml:space="preserve">Sempre in via subordinata si deduce l’illegittimità della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ivi inclusi il disciplinare di gara all’art. 8 comma 1 e il capitolato speciale all’art. 13 comma 10, laddove si dovesse ritenere che in base alla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non potesse essere considerata una vera e propria “vibrofinitrice” la “FINITRICE PER ASFALTO BITELLI BB630” che avrebbe consentito alla ricorrente di ottenere due punti unitamente all’altra vibrofinitrice in più e anche soltanto tre degli autocarri ribaltabili sopra citati.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IV.a</w:t>
      </w:r>
      <w:proofErr w:type="spellEnd"/>
      <w:r w:rsidRPr="001839E3">
        <w:rPr>
          <w:rFonts w:ascii="Times New Roman" w:eastAsia="Times New Roman" w:hAnsi="Times New Roman" w:cs="Times New Roman"/>
          <w:color w:val="3D3B39"/>
          <w:lang w:eastAsia="it-IT"/>
        </w:rPr>
        <w:t xml:space="preserve">) Segue. </w:t>
      </w:r>
      <w:r w:rsidRPr="001839E3">
        <w:rPr>
          <w:rFonts w:ascii="Times New Roman" w:eastAsia="Times New Roman" w:hAnsi="Times New Roman" w:cs="Times New Roman"/>
          <w:color w:val="3D3B39"/>
          <w:lang w:eastAsia="it-IT"/>
        </w:rPr>
        <w:br/>
        <w:t xml:space="preserve">Appare manifestamente incoerente con l’oggetto dell’appalto anche l’individuazione dei mezzi da possedere </w:t>
      </w:r>
      <w:r w:rsidRPr="001839E3">
        <w:rPr>
          <w:rFonts w:ascii="Times New Roman" w:eastAsia="Times New Roman" w:hAnsi="Times New Roman" w:cs="Times New Roman"/>
          <w:color w:val="3D3B39"/>
          <w:lang w:eastAsia="it-IT"/>
        </w:rPr>
        <w:lastRenderedPageBreak/>
        <w:t xml:space="preserve">in dotazione minima, effettuata all’art. 13 comma 10 del capitolato. Invero, in tale elenco sono inspiegabilmente assenti mezzi assolutamente fondamentali per l’appalto in questione e, in particolare, rulli vibranti, spazzatrici/scopatrici meccaniche e compressori tandem.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V.a</w:t>
      </w:r>
      <w:proofErr w:type="spellEnd"/>
      <w:r w:rsidRPr="001839E3">
        <w:rPr>
          <w:rFonts w:ascii="Times New Roman" w:eastAsia="Times New Roman" w:hAnsi="Times New Roman" w:cs="Times New Roman"/>
          <w:color w:val="3D3B39"/>
          <w:lang w:eastAsia="it-IT"/>
        </w:rPr>
        <w:t xml:space="preserve">) Segue. </w:t>
      </w:r>
      <w:r w:rsidRPr="001839E3">
        <w:rPr>
          <w:rFonts w:ascii="Times New Roman" w:eastAsia="Times New Roman" w:hAnsi="Times New Roman" w:cs="Times New Roman"/>
          <w:color w:val="3D3B39"/>
          <w:lang w:eastAsia="it-IT"/>
        </w:rPr>
        <w:br/>
        <w:t xml:space="preserve">L’Impresa Salvatore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doveva poi essere esclusa e comunque non poteva stipulare l’accordo quadro in quanto ha dichiarato di avere due magazzini a Formia e Gaeta, ma senza indicare la via e il numero civico, mentre solo per la sede operativa a Gaeta ha indicato precisamente l’indirizzo. L’omessa indicazione dell’indirizzo rende assolutamente indeterminabile l’oggetto di quanto richiesto in modo specifico dal capitolato e, pertanto, dovrebbe ragionevolmente ritenersi </w:t>
      </w:r>
      <w:proofErr w:type="spellStart"/>
      <w:r w:rsidRPr="001839E3">
        <w:rPr>
          <w:rFonts w:ascii="Times New Roman" w:eastAsia="Times New Roman" w:hAnsi="Times New Roman" w:cs="Times New Roman"/>
          <w:color w:val="3D3B39"/>
          <w:lang w:eastAsia="it-IT"/>
        </w:rPr>
        <w:t>tamquam</w:t>
      </w:r>
      <w:proofErr w:type="spellEnd"/>
      <w:r w:rsidRPr="001839E3">
        <w:rPr>
          <w:rFonts w:ascii="Times New Roman" w:eastAsia="Times New Roman" w:hAnsi="Times New Roman" w:cs="Times New Roman"/>
          <w:color w:val="3D3B39"/>
          <w:lang w:eastAsia="it-IT"/>
        </w:rPr>
        <w:t xml:space="preserve"> non </w:t>
      </w:r>
      <w:proofErr w:type="spellStart"/>
      <w:r w:rsidRPr="001839E3">
        <w:rPr>
          <w:rFonts w:ascii="Times New Roman" w:eastAsia="Times New Roman" w:hAnsi="Times New Roman" w:cs="Times New Roman"/>
          <w:color w:val="3D3B39"/>
          <w:lang w:eastAsia="it-IT"/>
        </w:rPr>
        <w:t>esset</w:t>
      </w:r>
      <w:proofErr w:type="spellEnd"/>
      <w:r w:rsidRPr="001839E3">
        <w:rPr>
          <w:rFonts w:ascii="Times New Roman" w:eastAsia="Times New Roman" w:hAnsi="Times New Roman" w:cs="Times New Roman"/>
          <w:color w:val="3D3B39"/>
          <w:lang w:eastAsia="it-IT"/>
        </w:rPr>
        <w:t xml:space="preserve"> la dichiarazione della </w:t>
      </w:r>
      <w:proofErr w:type="spellStart"/>
      <w:r w:rsidRPr="001839E3">
        <w:rPr>
          <w:rFonts w:ascii="Times New Roman" w:eastAsia="Times New Roman" w:hAnsi="Times New Roman" w:cs="Times New Roman"/>
          <w:color w:val="3D3B39"/>
          <w:lang w:eastAsia="it-IT"/>
        </w:rPr>
        <w:t>controinteressata</w:t>
      </w:r>
      <w:proofErr w:type="spellEnd"/>
      <w:r w:rsidRPr="001839E3">
        <w:rPr>
          <w:rFonts w:ascii="Times New Roman" w:eastAsia="Times New Roman" w:hAnsi="Times New Roman" w:cs="Times New Roman"/>
          <w:color w:val="3D3B39"/>
          <w:lang w:eastAsia="it-IT"/>
        </w:rPr>
        <w:t xml:space="preserve">.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VI.a</w:t>
      </w:r>
      <w:proofErr w:type="spellEnd"/>
      <w:r w:rsidRPr="001839E3">
        <w:rPr>
          <w:rFonts w:ascii="Times New Roman" w:eastAsia="Times New Roman" w:hAnsi="Times New Roman" w:cs="Times New Roman"/>
          <w:color w:val="3D3B39"/>
          <w:lang w:eastAsia="it-IT"/>
        </w:rPr>
        <w:t xml:space="preserve">) Segue. </w:t>
      </w:r>
      <w:r w:rsidRPr="001839E3">
        <w:rPr>
          <w:rFonts w:ascii="Times New Roman" w:eastAsia="Times New Roman" w:hAnsi="Times New Roman" w:cs="Times New Roman"/>
          <w:color w:val="3D3B39"/>
          <w:lang w:eastAsia="it-IT"/>
        </w:rPr>
        <w:br/>
        <w:t xml:space="preserve">In via subordinata si deduce l’illegittimità della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ivi inclusi il disciplinare di gara all’art. 8 comma 2 sub b) laddove interpretato nel senso della equipollenza fra i depositi/magazzini con le sedi operative.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VII.a</w:t>
      </w:r>
      <w:proofErr w:type="spellEnd"/>
      <w:r w:rsidRPr="001839E3">
        <w:rPr>
          <w:rFonts w:ascii="Times New Roman" w:eastAsia="Times New Roman" w:hAnsi="Times New Roman" w:cs="Times New Roman"/>
          <w:color w:val="3D3B39"/>
          <w:lang w:eastAsia="it-IT"/>
        </w:rPr>
        <w:t xml:space="preserve">) Violazione e falsa applicazione dell’art. 97, d. </w:t>
      </w:r>
      <w:proofErr w:type="spellStart"/>
      <w:r w:rsidRPr="001839E3">
        <w:rPr>
          <w:rFonts w:ascii="Times New Roman" w:eastAsia="Times New Roman" w:hAnsi="Times New Roman" w:cs="Times New Roman"/>
          <w:color w:val="3D3B39"/>
          <w:lang w:eastAsia="it-IT"/>
        </w:rPr>
        <w:t>lgs</w:t>
      </w:r>
      <w:proofErr w:type="spellEnd"/>
      <w:r w:rsidRPr="001839E3">
        <w:rPr>
          <w:rFonts w:ascii="Times New Roman" w:eastAsia="Times New Roman" w:hAnsi="Times New Roman" w:cs="Times New Roman"/>
          <w:color w:val="3D3B39"/>
          <w:lang w:eastAsia="it-IT"/>
        </w:rPr>
        <w:t xml:space="preserve">. n. 50/2016 e dei principi generali in tema di valutazione delle offerte anomale. Eccesso di potere sotto diversi profili. </w:t>
      </w:r>
      <w:r w:rsidRPr="001839E3">
        <w:rPr>
          <w:rFonts w:ascii="Times New Roman" w:eastAsia="Times New Roman" w:hAnsi="Times New Roman" w:cs="Times New Roman"/>
          <w:color w:val="3D3B39"/>
          <w:lang w:eastAsia="it-IT"/>
        </w:rPr>
        <w:br/>
        <w:t xml:space="preserve">La verifica di anomalia del RTI Carcone ed </w:t>
      </w:r>
      <w:proofErr w:type="spellStart"/>
      <w:r w:rsidRPr="001839E3">
        <w:rPr>
          <w:rFonts w:ascii="Times New Roman" w:eastAsia="Times New Roman" w:hAnsi="Times New Roman" w:cs="Times New Roman"/>
          <w:color w:val="3D3B39"/>
          <w:lang w:eastAsia="it-IT"/>
        </w:rPr>
        <w:t>Euroscavi</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rectius</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risulta illegittima per una serie di ragioni. </w:t>
      </w:r>
      <w:r w:rsidRPr="001839E3">
        <w:rPr>
          <w:rFonts w:ascii="Times New Roman" w:eastAsia="Times New Roman" w:hAnsi="Times New Roman" w:cs="Times New Roman"/>
          <w:color w:val="3D3B39"/>
          <w:lang w:eastAsia="it-IT"/>
        </w:rPr>
        <w:br/>
      </w:r>
      <w:proofErr w:type="spellStart"/>
      <w:r w:rsidRPr="001839E3">
        <w:rPr>
          <w:rFonts w:ascii="Times New Roman" w:eastAsia="Times New Roman" w:hAnsi="Times New Roman" w:cs="Times New Roman"/>
          <w:color w:val="3D3B39"/>
          <w:lang w:eastAsia="it-IT"/>
        </w:rPr>
        <w:t>VIII.a</w:t>
      </w:r>
      <w:proofErr w:type="spellEnd"/>
      <w:r w:rsidRPr="001839E3">
        <w:rPr>
          <w:rFonts w:ascii="Times New Roman" w:eastAsia="Times New Roman" w:hAnsi="Times New Roman" w:cs="Times New Roman"/>
          <w:color w:val="3D3B39"/>
          <w:lang w:eastAsia="it-IT"/>
        </w:rPr>
        <w:t xml:space="preserve">) Segue. </w:t>
      </w:r>
      <w:r w:rsidRPr="001839E3">
        <w:rPr>
          <w:rFonts w:ascii="Times New Roman" w:eastAsia="Times New Roman" w:hAnsi="Times New Roman" w:cs="Times New Roman"/>
          <w:color w:val="3D3B39"/>
          <w:lang w:eastAsia="it-IT"/>
        </w:rPr>
        <w:br/>
        <w:t xml:space="preserve">Anche la verifica di anomalia del RTI Carcone ed </w:t>
      </w:r>
      <w:proofErr w:type="spellStart"/>
      <w:r w:rsidRPr="001839E3">
        <w:rPr>
          <w:rFonts w:ascii="Times New Roman" w:eastAsia="Times New Roman" w:hAnsi="Times New Roman" w:cs="Times New Roman"/>
          <w:color w:val="3D3B39"/>
          <w:lang w:eastAsia="it-IT"/>
        </w:rPr>
        <w:t>Euroscavi</w:t>
      </w:r>
      <w:proofErr w:type="spellEnd"/>
      <w:r w:rsidRPr="001839E3">
        <w:rPr>
          <w:rFonts w:ascii="Times New Roman" w:eastAsia="Times New Roman" w:hAnsi="Times New Roman" w:cs="Times New Roman"/>
          <w:color w:val="3D3B39"/>
          <w:lang w:eastAsia="it-IT"/>
        </w:rPr>
        <w:t xml:space="preserve"> risulta illegittima per una serie di ragioni. </w:t>
      </w:r>
      <w:r w:rsidRPr="001839E3">
        <w:rPr>
          <w:rFonts w:ascii="Times New Roman" w:eastAsia="Times New Roman" w:hAnsi="Times New Roman" w:cs="Times New Roman"/>
          <w:color w:val="3D3B39"/>
          <w:lang w:eastAsia="it-IT"/>
        </w:rPr>
        <w:br/>
        <w:t xml:space="preserve">4) Con atti depositati il 9 e il 27 aprile 2018 si sono costituiti in giudizio </w:t>
      </w:r>
      <w:proofErr w:type="spellStart"/>
      <w:r w:rsidRPr="001839E3">
        <w:rPr>
          <w:rFonts w:ascii="Times New Roman" w:eastAsia="Times New Roman" w:hAnsi="Times New Roman" w:cs="Times New Roman"/>
          <w:color w:val="3D3B39"/>
          <w:lang w:eastAsia="it-IT"/>
        </w:rPr>
        <w:t>Acqualatina</w:t>
      </w:r>
      <w:proofErr w:type="spellEnd"/>
      <w:r w:rsidRPr="001839E3">
        <w:rPr>
          <w:rFonts w:ascii="Times New Roman" w:eastAsia="Times New Roman" w:hAnsi="Times New Roman" w:cs="Times New Roman"/>
          <w:color w:val="3D3B39"/>
          <w:lang w:eastAsia="it-IT"/>
        </w:rPr>
        <w:t xml:space="preserve"> S.p.a. e l’Impresa Edile Idraulica Stradale di Salvatore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le quali, con successive memorie, hanno eccepito l’inammissibilità e l’infondatezza del ricorso e dei motivi aggiunti. </w:t>
      </w:r>
      <w:r w:rsidRPr="001839E3">
        <w:rPr>
          <w:rFonts w:ascii="Times New Roman" w:eastAsia="Times New Roman" w:hAnsi="Times New Roman" w:cs="Times New Roman"/>
          <w:color w:val="3D3B39"/>
          <w:lang w:eastAsia="it-IT"/>
        </w:rPr>
        <w:br/>
        <w:t xml:space="preserve">5) Alla pubblica udienza del 24 maggio 2018, la causa è stata riservata per la decisione. </w:t>
      </w:r>
      <w:r w:rsidRPr="001839E3">
        <w:rPr>
          <w:rFonts w:ascii="Times New Roman" w:eastAsia="Times New Roman" w:hAnsi="Times New Roman" w:cs="Times New Roman"/>
          <w:color w:val="3D3B39"/>
          <w:lang w:eastAsia="it-IT"/>
        </w:rPr>
        <w:br/>
        <w:t xml:space="preserve">6) Il ricorso introduttivo, con cui la ricorrente lamenta la mancata previsione di un progetto definitivo ed esecutivo degli interventi previsti, è infondato in quanto tale peculiarità si spiega col fatto che la procedura indetta da </w:t>
      </w:r>
      <w:proofErr w:type="spellStart"/>
      <w:r w:rsidRPr="001839E3">
        <w:rPr>
          <w:rFonts w:ascii="Times New Roman" w:eastAsia="Times New Roman" w:hAnsi="Times New Roman" w:cs="Times New Roman"/>
          <w:color w:val="3D3B39"/>
          <w:lang w:eastAsia="it-IT"/>
        </w:rPr>
        <w:t>Acqualatina</w:t>
      </w:r>
      <w:proofErr w:type="spellEnd"/>
      <w:r w:rsidRPr="001839E3">
        <w:rPr>
          <w:rFonts w:ascii="Times New Roman" w:eastAsia="Times New Roman" w:hAnsi="Times New Roman" w:cs="Times New Roman"/>
          <w:color w:val="3D3B39"/>
          <w:lang w:eastAsia="it-IT"/>
        </w:rPr>
        <w:t xml:space="preserve"> è finalizzata alla individuazione del soggetto col quale stipulare un “Accordo Quadro”, ad oggetto l’esecuzione di lavori di ottimizzazione e risanamento delle reti idriche e degli impianti ad esse connesse all’interno dei territori dei Comuni di Formia e Minturno, descritti in via esemplificativa e non esaustiva, con la precisazione che le opere da eseguire non faranno parte di un complesso unitario ma saranno indipendenti tra di loro, site in località diverse e potranno differenziarsi per caratteristiche tecniche dimensioni impegno esecutivo ecc., e che l’esecuzione dei singoli lavori le tempistiche di realizzazione e la loro successione nel tempo saranno precisati dalla Direzione Lavori al momento della sottoscrizione dei singoli contratti applicativi. </w:t>
      </w:r>
      <w:r w:rsidRPr="001839E3">
        <w:rPr>
          <w:rFonts w:ascii="Times New Roman" w:eastAsia="Times New Roman" w:hAnsi="Times New Roman" w:cs="Times New Roman"/>
          <w:color w:val="3D3B39"/>
          <w:lang w:eastAsia="it-IT"/>
        </w:rPr>
        <w:br/>
        <w:t xml:space="preserve">Pertanto, la redazione di un progetto esecutivo è nella fattispecie incompatibile con le caratteristiche strutturali e la ratio stessa dell’accordo quadro, la cui caratteristica principale “è definire il perimetro generale delle obbligazioni contrattuali, poi destinate ad essere specificate in una successiva fase, mediante l'attivazione di specifici contratti di appalto” (Consiglio di Stato sez. V 1 marzo 2017 n. 946). </w:t>
      </w:r>
      <w:r w:rsidRPr="001839E3">
        <w:rPr>
          <w:rFonts w:ascii="Times New Roman" w:eastAsia="Times New Roman" w:hAnsi="Times New Roman" w:cs="Times New Roman"/>
          <w:color w:val="3D3B39"/>
          <w:lang w:eastAsia="it-IT"/>
        </w:rPr>
        <w:br/>
        <w:t xml:space="preserve">7) Con riguardo ai motivi aggiunti, il Collegio rileva in via preliminare l’inammissibilità delle censure riguardanti la teorizzata illegittima valutazione dell’offerta della ricorrente (sub </w:t>
      </w:r>
      <w:proofErr w:type="spellStart"/>
      <w:r w:rsidRPr="001839E3">
        <w:rPr>
          <w:rFonts w:ascii="Times New Roman" w:eastAsia="Times New Roman" w:hAnsi="Times New Roman" w:cs="Times New Roman"/>
          <w:color w:val="3D3B39"/>
          <w:lang w:eastAsia="it-IT"/>
        </w:rPr>
        <w:t>I.a</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II.a</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II.a</w:t>
      </w:r>
      <w:proofErr w:type="spellEnd"/>
      <w:r w:rsidRPr="001839E3">
        <w:rPr>
          <w:rFonts w:ascii="Times New Roman" w:eastAsia="Times New Roman" w:hAnsi="Times New Roman" w:cs="Times New Roman"/>
          <w:color w:val="3D3B39"/>
          <w:lang w:eastAsia="it-IT"/>
        </w:rPr>
        <w:t xml:space="preserve"> e </w:t>
      </w:r>
      <w:proofErr w:type="spellStart"/>
      <w:r w:rsidRPr="001839E3">
        <w:rPr>
          <w:rFonts w:ascii="Times New Roman" w:eastAsia="Times New Roman" w:hAnsi="Times New Roman" w:cs="Times New Roman"/>
          <w:color w:val="3D3B39"/>
          <w:lang w:eastAsia="it-IT"/>
        </w:rPr>
        <w:t>IV.a</w:t>
      </w:r>
      <w:proofErr w:type="spellEnd"/>
      <w:r w:rsidRPr="001839E3">
        <w:rPr>
          <w:rFonts w:ascii="Times New Roman" w:eastAsia="Times New Roman" w:hAnsi="Times New Roman" w:cs="Times New Roman"/>
          <w:color w:val="3D3B39"/>
          <w:lang w:eastAsia="it-IT"/>
        </w:rPr>
        <w:t xml:space="preserve">), dovendosi il termine di proposizione farsi decorrere dalla data di notificazione dell’aggiudicazione (23.1.2018). </w:t>
      </w:r>
      <w:r w:rsidRPr="001839E3">
        <w:rPr>
          <w:rFonts w:ascii="Times New Roman" w:eastAsia="Times New Roman" w:hAnsi="Times New Roman" w:cs="Times New Roman"/>
          <w:color w:val="3D3B39"/>
          <w:lang w:eastAsia="it-IT"/>
        </w:rPr>
        <w:br/>
        <w:t xml:space="preserve">Ciò in quanto gli atti sulle quali le stesse si basano (offerta propria e relativo punteggio attribuito nella seduta di cui al verbale n. 14 del 31.10.2017), erano conosciuti alla ricorrente alla data dell’aggiudicazione, in quanto la stessa ha assistito alla seduta del 31.10.17 col proprio rappresentante sig. </w:t>
      </w:r>
      <w:proofErr w:type="spellStart"/>
      <w:r w:rsidRPr="001839E3">
        <w:rPr>
          <w:rFonts w:ascii="Times New Roman" w:eastAsia="Times New Roman" w:hAnsi="Times New Roman" w:cs="Times New Roman"/>
          <w:color w:val="3D3B39"/>
          <w:lang w:eastAsia="it-IT"/>
        </w:rPr>
        <w:t>Palmaccio</w:t>
      </w:r>
      <w:proofErr w:type="spellEnd"/>
      <w:r w:rsidRPr="001839E3">
        <w:rPr>
          <w:rFonts w:ascii="Times New Roman" w:eastAsia="Times New Roman" w:hAnsi="Times New Roman" w:cs="Times New Roman"/>
          <w:color w:val="3D3B39"/>
          <w:lang w:eastAsia="it-IT"/>
        </w:rPr>
        <w:t xml:space="preserve"> Gino. Inoltre, le è stata trasmessa copia del verbale con nota </w:t>
      </w:r>
      <w:proofErr w:type="spellStart"/>
      <w:r w:rsidRPr="001839E3">
        <w:rPr>
          <w:rFonts w:ascii="Times New Roman" w:eastAsia="Times New Roman" w:hAnsi="Times New Roman" w:cs="Times New Roman"/>
          <w:color w:val="3D3B39"/>
          <w:lang w:eastAsia="it-IT"/>
        </w:rPr>
        <w:t>prot</w:t>
      </w:r>
      <w:proofErr w:type="spellEnd"/>
      <w:r w:rsidRPr="001839E3">
        <w:rPr>
          <w:rFonts w:ascii="Times New Roman" w:eastAsia="Times New Roman" w:hAnsi="Times New Roman" w:cs="Times New Roman"/>
          <w:color w:val="3D3B39"/>
          <w:lang w:eastAsia="it-IT"/>
        </w:rPr>
        <w:t xml:space="preserve">. 31637 del 29.11.2017. </w:t>
      </w:r>
      <w:r w:rsidRPr="001839E3">
        <w:rPr>
          <w:rFonts w:ascii="Times New Roman" w:eastAsia="Times New Roman" w:hAnsi="Times New Roman" w:cs="Times New Roman"/>
          <w:color w:val="3D3B39"/>
          <w:lang w:eastAsia="it-IT"/>
        </w:rPr>
        <w:br/>
        <w:t xml:space="preserve">8) In ogni caso il motivo è comunque infondato perché – come spiegato dall’Amministrazione resistente – la ricorrente ha dichiarato di possedere come mezzi aggiuntivi: n. 1 fresatrice; n. 2 vibrofinitrici; n. 1 dumper; n. 1 betoniera; n. 3 rulli; n. 1 spazzatrice stradale; n. 1 </w:t>
      </w:r>
      <w:proofErr w:type="spellStart"/>
      <w:r w:rsidRPr="001839E3">
        <w:rPr>
          <w:rFonts w:ascii="Times New Roman" w:eastAsia="Times New Roman" w:hAnsi="Times New Roman" w:cs="Times New Roman"/>
          <w:color w:val="3D3B39"/>
          <w:lang w:eastAsia="it-IT"/>
        </w:rPr>
        <w:t>spruzzatrice</w:t>
      </w:r>
      <w:proofErr w:type="spellEnd"/>
      <w:r w:rsidRPr="001839E3">
        <w:rPr>
          <w:rFonts w:ascii="Times New Roman" w:eastAsia="Times New Roman" w:hAnsi="Times New Roman" w:cs="Times New Roman"/>
          <w:color w:val="3D3B39"/>
          <w:lang w:eastAsia="it-IT"/>
        </w:rPr>
        <w:t xml:space="preserve"> per bitume; n. 4 autocarri di media e grande portata per trasporto materiali. </w:t>
      </w:r>
      <w:r w:rsidRPr="001839E3">
        <w:rPr>
          <w:rFonts w:ascii="Times New Roman" w:eastAsia="Times New Roman" w:hAnsi="Times New Roman" w:cs="Times New Roman"/>
          <w:color w:val="3D3B39"/>
          <w:lang w:eastAsia="it-IT"/>
        </w:rPr>
        <w:br/>
        <w:t xml:space="preserve">La Commissione di gara si è attenuta a valutare come mezzi aggiuntivi rispetto al minimo richiesto la sola </w:t>
      </w:r>
      <w:proofErr w:type="spellStart"/>
      <w:r w:rsidRPr="001839E3">
        <w:rPr>
          <w:rFonts w:ascii="Times New Roman" w:eastAsia="Times New Roman" w:hAnsi="Times New Roman" w:cs="Times New Roman"/>
          <w:color w:val="3D3B39"/>
          <w:lang w:eastAsia="it-IT"/>
        </w:rPr>
        <w:t>vibrofinitricie</w:t>
      </w:r>
      <w:proofErr w:type="spellEnd"/>
      <w:r w:rsidRPr="001839E3">
        <w:rPr>
          <w:rFonts w:ascii="Times New Roman" w:eastAsia="Times New Roman" w:hAnsi="Times New Roman" w:cs="Times New Roman"/>
          <w:color w:val="3D3B39"/>
          <w:lang w:eastAsia="it-IT"/>
        </w:rPr>
        <w:t xml:space="preserve">, in quanto gli altri mezzi aggiuntivi indicati dalla ricorrente non fanno parte dell’elenco mezzi “da valutare” indicato </w:t>
      </w:r>
      <w:proofErr w:type="spellStart"/>
      <w:r w:rsidRPr="001839E3">
        <w:rPr>
          <w:rFonts w:ascii="Times New Roman" w:eastAsia="Times New Roman" w:hAnsi="Times New Roman" w:cs="Times New Roman"/>
          <w:color w:val="3D3B39"/>
          <w:lang w:eastAsia="it-IT"/>
        </w:rPr>
        <w:t>all’at</w:t>
      </w:r>
      <w:proofErr w:type="spellEnd"/>
      <w:r w:rsidRPr="001839E3">
        <w:rPr>
          <w:rFonts w:ascii="Times New Roman" w:eastAsia="Times New Roman" w:hAnsi="Times New Roman" w:cs="Times New Roman"/>
          <w:color w:val="3D3B39"/>
          <w:lang w:eastAsia="it-IT"/>
        </w:rPr>
        <w:t xml:space="preserve">. 13, comma 10, del capitolato speciale d’appalto - parte tecnica: n. 1 tagliatrice; n. 1 fresatrice; n. 1 vibrofinitrici; n. 1 dumper; n. 1 betoniera. </w:t>
      </w:r>
      <w:r w:rsidRPr="001839E3">
        <w:rPr>
          <w:rFonts w:ascii="Times New Roman" w:eastAsia="Times New Roman" w:hAnsi="Times New Roman" w:cs="Times New Roman"/>
          <w:color w:val="3D3B39"/>
          <w:lang w:eastAsia="it-IT"/>
        </w:rPr>
        <w:br/>
        <w:t xml:space="preserve">La teorizzata – dalla ricorrente – equivalenza tra dumper e autocarro è sementita dalla offerta dalla stessa presentata, in cui le due categorie di mezzi sono indicate distintamente. </w:t>
      </w:r>
      <w:r w:rsidRPr="001839E3">
        <w:rPr>
          <w:rFonts w:ascii="Times New Roman" w:eastAsia="Times New Roman" w:hAnsi="Times New Roman" w:cs="Times New Roman"/>
          <w:color w:val="3D3B39"/>
          <w:lang w:eastAsia="it-IT"/>
        </w:rPr>
        <w:br/>
      </w:r>
      <w:r w:rsidRPr="001839E3">
        <w:rPr>
          <w:rFonts w:ascii="Times New Roman" w:eastAsia="Times New Roman" w:hAnsi="Times New Roman" w:cs="Times New Roman"/>
          <w:color w:val="3D3B39"/>
          <w:lang w:eastAsia="it-IT"/>
        </w:rPr>
        <w:lastRenderedPageBreak/>
        <w:t xml:space="preserve">In ogni caso, non era ipotizzabile alcun onere della Commissione di indagare l’equivalenza tra i mezzi in argomento di propria iniziativa. </w:t>
      </w:r>
      <w:r w:rsidRPr="001839E3">
        <w:rPr>
          <w:rFonts w:ascii="Times New Roman" w:eastAsia="Times New Roman" w:hAnsi="Times New Roman" w:cs="Times New Roman"/>
          <w:color w:val="3D3B39"/>
          <w:lang w:eastAsia="it-IT"/>
        </w:rPr>
        <w:br/>
        <w:t xml:space="preserve">9) Sempre in via preliminare, vanno dichiarate inammissibili le censure (sub </w:t>
      </w:r>
      <w:proofErr w:type="spellStart"/>
      <w:r w:rsidRPr="001839E3">
        <w:rPr>
          <w:rFonts w:ascii="Times New Roman" w:eastAsia="Times New Roman" w:hAnsi="Times New Roman" w:cs="Times New Roman"/>
          <w:color w:val="3D3B39"/>
          <w:lang w:eastAsia="it-IT"/>
        </w:rPr>
        <w:t>VII.a</w:t>
      </w:r>
      <w:proofErr w:type="spellEnd"/>
      <w:r w:rsidRPr="001839E3">
        <w:rPr>
          <w:rFonts w:ascii="Times New Roman" w:eastAsia="Times New Roman" w:hAnsi="Times New Roman" w:cs="Times New Roman"/>
          <w:color w:val="3D3B39"/>
          <w:lang w:eastAsia="it-IT"/>
        </w:rPr>
        <w:t xml:space="preserve"> e </w:t>
      </w:r>
      <w:proofErr w:type="spellStart"/>
      <w:r w:rsidRPr="001839E3">
        <w:rPr>
          <w:rFonts w:ascii="Times New Roman" w:eastAsia="Times New Roman" w:hAnsi="Times New Roman" w:cs="Times New Roman"/>
          <w:color w:val="3D3B39"/>
          <w:lang w:eastAsia="it-IT"/>
        </w:rPr>
        <w:t>VIII.a</w:t>
      </w:r>
      <w:proofErr w:type="spellEnd"/>
      <w:r w:rsidRPr="001839E3">
        <w:rPr>
          <w:rFonts w:ascii="Times New Roman" w:eastAsia="Times New Roman" w:hAnsi="Times New Roman" w:cs="Times New Roman"/>
          <w:color w:val="3D3B39"/>
          <w:lang w:eastAsia="it-IT"/>
        </w:rPr>
        <w:t xml:space="preserve">) con cui la ricorrente ha contestato l’illegittimità della verifica di anomalia dell’offerta condotta dalla stazione appaltante nei confronti della prima e della seconda classificata. </w:t>
      </w:r>
      <w:r w:rsidRPr="001839E3">
        <w:rPr>
          <w:rFonts w:ascii="Times New Roman" w:eastAsia="Times New Roman" w:hAnsi="Times New Roman" w:cs="Times New Roman"/>
          <w:color w:val="3D3B39"/>
          <w:lang w:eastAsia="it-IT"/>
        </w:rPr>
        <w:br/>
        <w:t xml:space="preserve">Ciò in quanto è’ principio consolidato in giurisprudenza che “Nelle gare pubbliche la verifica dell'anomalia dell'offerta è finalizzata alla verifica dell'attendibilità e della serietà della stessa ed all'accertamento dell'effettiva possibilità dell'impresa di eseguire correttamente l'appalto alle condizioni proposte; la relativa valutazione della stazione appaltante ha natura globale e sintetica e costituisce espressione di un tipico potere tecnico-discrezionale riservato alla Pubblica amministrazione che, come tale, è insindacabile in sede giurisdizionale, salvo che la manifesta e macroscopica erroneità o irragionevolezza dell'operato, renda palese l'inattendibilità complessiva dell'offerta; di norma infatti il giudice amministrativo non può procedere ad alcuna autonoma verifica della congruità dell'offerta e delle singole voci, che rappresenterebbe un'inammissibile invasione della sfera propria della Pubblica amministrazione, ma può solo verificare il giudizio sotto i profili della logicità, della ragionevolezza e dell'adeguatezza; solo in tali limiti, il giudice di legittimità, ferma restando l'impossibilità di sostituire il proprio giudizio a quello della Pubblica amministrazione, può esercitare il proprio sindacato; nella sostanza poi, un'offerta non può ritenersi anomala, ed essere esclusa, per il solo fatto che il costo del lavoro sia stato calcolato secondo valori inferiori a quelli risultanti dalle tabelle ministeriali o dai contratti collettivi: perché possa dubitarsi della sua congruità, occorre che le discordanze siano considerevoli e palesemente ingiustificate” (Consiglio di Stato sez. III 13 marzo 2018 n. 1609). </w:t>
      </w:r>
      <w:r w:rsidRPr="001839E3">
        <w:rPr>
          <w:rFonts w:ascii="Times New Roman" w:eastAsia="Times New Roman" w:hAnsi="Times New Roman" w:cs="Times New Roman"/>
          <w:color w:val="3D3B39"/>
          <w:lang w:eastAsia="it-IT"/>
        </w:rPr>
        <w:br/>
        <w:t xml:space="preserve">10) Infine, le censure (sub </w:t>
      </w:r>
      <w:proofErr w:type="spellStart"/>
      <w:r w:rsidRPr="001839E3">
        <w:rPr>
          <w:rFonts w:ascii="Times New Roman" w:eastAsia="Times New Roman" w:hAnsi="Times New Roman" w:cs="Times New Roman"/>
          <w:color w:val="3D3B39"/>
          <w:lang w:eastAsia="it-IT"/>
        </w:rPr>
        <w:t>V.a</w:t>
      </w:r>
      <w:proofErr w:type="spellEnd"/>
      <w:r w:rsidRPr="001839E3">
        <w:rPr>
          <w:rFonts w:ascii="Times New Roman" w:eastAsia="Times New Roman" w:hAnsi="Times New Roman" w:cs="Times New Roman"/>
          <w:color w:val="3D3B39"/>
          <w:lang w:eastAsia="it-IT"/>
        </w:rPr>
        <w:t xml:space="preserve"> e </w:t>
      </w:r>
      <w:proofErr w:type="spellStart"/>
      <w:r w:rsidRPr="001839E3">
        <w:rPr>
          <w:rFonts w:ascii="Times New Roman" w:eastAsia="Times New Roman" w:hAnsi="Times New Roman" w:cs="Times New Roman"/>
          <w:color w:val="3D3B39"/>
          <w:lang w:eastAsia="it-IT"/>
        </w:rPr>
        <w:t>VI.a</w:t>
      </w:r>
      <w:proofErr w:type="spellEnd"/>
      <w:r w:rsidRPr="001839E3">
        <w:rPr>
          <w:rFonts w:ascii="Times New Roman" w:eastAsia="Times New Roman" w:hAnsi="Times New Roman" w:cs="Times New Roman"/>
          <w:color w:val="3D3B39"/>
          <w:lang w:eastAsia="it-IT"/>
        </w:rPr>
        <w:t xml:space="preserve">) riguardanti la mancata indicazione dell’indirizzo dei magazzini nella disponibilità dell’aggiudicataria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sono infondate posto che tale ulteriore informazione non era richiesta nella </w:t>
      </w:r>
      <w:proofErr w:type="spellStart"/>
      <w:r w:rsidRPr="001839E3">
        <w:rPr>
          <w:rFonts w:ascii="Times New Roman" w:eastAsia="Times New Roman" w:hAnsi="Times New Roman" w:cs="Times New Roman"/>
          <w:color w:val="3D3B39"/>
          <w:lang w:eastAsia="it-IT"/>
        </w:rPr>
        <w:t>lex</w:t>
      </w:r>
      <w:proofErr w:type="spellEnd"/>
      <w:r w:rsidRPr="001839E3">
        <w:rPr>
          <w:rFonts w:ascii="Times New Roman" w:eastAsia="Times New Roman" w:hAnsi="Times New Roman" w:cs="Times New Roman"/>
          <w:color w:val="3D3B39"/>
          <w:lang w:eastAsia="it-IT"/>
        </w:rPr>
        <w:t xml:space="preserve"> </w:t>
      </w:r>
      <w:proofErr w:type="spellStart"/>
      <w:r w:rsidRPr="001839E3">
        <w:rPr>
          <w:rFonts w:ascii="Times New Roman" w:eastAsia="Times New Roman" w:hAnsi="Times New Roman" w:cs="Times New Roman"/>
          <w:color w:val="3D3B39"/>
          <w:lang w:eastAsia="it-IT"/>
        </w:rPr>
        <w:t>specialis</w:t>
      </w:r>
      <w:proofErr w:type="spellEnd"/>
      <w:r w:rsidRPr="001839E3">
        <w:rPr>
          <w:rFonts w:ascii="Times New Roman" w:eastAsia="Times New Roman" w:hAnsi="Times New Roman" w:cs="Times New Roman"/>
          <w:color w:val="3D3B39"/>
          <w:lang w:eastAsia="it-IT"/>
        </w:rPr>
        <w:t xml:space="preserve"> di gara. </w:t>
      </w:r>
      <w:r w:rsidRPr="001839E3">
        <w:rPr>
          <w:rFonts w:ascii="Times New Roman" w:eastAsia="Times New Roman" w:hAnsi="Times New Roman" w:cs="Times New Roman"/>
          <w:color w:val="3D3B39"/>
          <w:lang w:eastAsia="it-IT"/>
        </w:rPr>
        <w:br/>
        <w:t xml:space="preserve">Peraltro, la stessa </w:t>
      </w:r>
      <w:proofErr w:type="spellStart"/>
      <w:r w:rsidRPr="001839E3">
        <w:rPr>
          <w:rFonts w:ascii="Times New Roman" w:eastAsia="Times New Roman" w:hAnsi="Times New Roman" w:cs="Times New Roman"/>
          <w:color w:val="3D3B39"/>
          <w:lang w:eastAsia="it-IT"/>
        </w:rPr>
        <w:t>Molinaro</w:t>
      </w:r>
      <w:proofErr w:type="spellEnd"/>
      <w:r w:rsidRPr="001839E3">
        <w:rPr>
          <w:rFonts w:ascii="Times New Roman" w:eastAsia="Times New Roman" w:hAnsi="Times New Roman" w:cs="Times New Roman"/>
          <w:color w:val="3D3B39"/>
          <w:lang w:eastAsia="it-IT"/>
        </w:rPr>
        <w:t xml:space="preserve"> nella propria memoria difensiva ha rappresentato che in fase di stipula dell’Accordo Quadro ha inviato ad </w:t>
      </w:r>
      <w:proofErr w:type="spellStart"/>
      <w:r w:rsidRPr="001839E3">
        <w:rPr>
          <w:rFonts w:ascii="Times New Roman" w:eastAsia="Times New Roman" w:hAnsi="Times New Roman" w:cs="Times New Roman"/>
          <w:color w:val="3D3B39"/>
          <w:lang w:eastAsia="it-IT"/>
        </w:rPr>
        <w:t>Acqualatina</w:t>
      </w:r>
      <w:proofErr w:type="spellEnd"/>
      <w:r w:rsidRPr="001839E3">
        <w:rPr>
          <w:rFonts w:ascii="Times New Roman" w:eastAsia="Times New Roman" w:hAnsi="Times New Roman" w:cs="Times New Roman"/>
          <w:color w:val="3D3B39"/>
          <w:lang w:eastAsia="it-IT"/>
        </w:rPr>
        <w:t xml:space="preserve"> la dichiarazione sulla disponibilità delle sedi operative e dei magazzini indicando anche l’indirizzo di ubicazione degli stessi. </w:t>
      </w:r>
      <w:r w:rsidRPr="001839E3">
        <w:rPr>
          <w:rFonts w:ascii="Times New Roman" w:eastAsia="Times New Roman" w:hAnsi="Times New Roman" w:cs="Times New Roman"/>
          <w:color w:val="3D3B39"/>
          <w:lang w:eastAsia="it-IT"/>
        </w:rPr>
        <w:br/>
        <w:t xml:space="preserve">11) In conclusione, quindi il ricorso e i motivi aggiunti devono essere in parte dichiarati inammissibili e in parte respinti. </w:t>
      </w:r>
      <w:r w:rsidRPr="001839E3">
        <w:rPr>
          <w:rFonts w:ascii="Times New Roman" w:eastAsia="Times New Roman" w:hAnsi="Times New Roman" w:cs="Times New Roman"/>
          <w:color w:val="3D3B39"/>
          <w:lang w:eastAsia="it-IT"/>
        </w:rPr>
        <w:br/>
        <w:t xml:space="preserve">12) Le spese seguono la soccombenza. </w:t>
      </w:r>
    </w:p>
    <w:p w:rsidR="001839E3" w:rsidRPr="001839E3" w:rsidRDefault="001839E3" w:rsidP="001839E3">
      <w:pPr>
        <w:spacing w:after="265" w:line="240" w:lineRule="auto"/>
        <w:jc w:val="center"/>
        <w:rPr>
          <w:rFonts w:ascii="Times New Roman" w:eastAsia="Times New Roman" w:hAnsi="Times New Roman" w:cs="Times New Roman"/>
          <w:color w:val="3D3B39"/>
          <w:lang w:eastAsia="it-IT"/>
        </w:rPr>
      </w:pPr>
      <w:r w:rsidRPr="001839E3">
        <w:rPr>
          <w:rFonts w:ascii="Times New Roman" w:eastAsia="Times New Roman" w:hAnsi="Times New Roman" w:cs="Times New Roman"/>
          <w:b/>
          <w:bCs/>
          <w:color w:val="3D3B39"/>
          <w:lang w:eastAsia="it-IT"/>
        </w:rPr>
        <w:t>P.Q.M.</w:t>
      </w:r>
    </w:p>
    <w:p w:rsidR="001839E3" w:rsidRPr="001839E3" w:rsidRDefault="001839E3" w:rsidP="001839E3">
      <w:pPr>
        <w:spacing w:after="265" w:line="240" w:lineRule="auto"/>
        <w:rPr>
          <w:rFonts w:ascii="Times New Roman" w:eastAsia="Times New Roman" w:hAnsi="Times New Roman" w:cs="Times New Roman"/>
          <w:color w:val="3D3B39"/>
          <w:lang w:eastAsia="it-IT"/>
        </w:rPr>
      </w:pPr>
      <w:r w:rsidRPr="001839E3">
        <w:rPr>
          <w:rFonts w:ascii="Times New Roman" w:eastAsia="Times New Roman" w:hAnsi="Times New Roman" w:cs="Times New Roman"/>
          <w:color w:val="3D3B39"/>
          <w:lang w:eastAsia="it-IT"/>
        </w:rPr>
        <w:t xml:space="preserve">Il Tribunale Amministrativo Regionale per il Lazio sezione staccata di Latina (Sezione Prima), definitivamente pronunciando sul ricorso e i motivi aggiunti R.G. 161/18 in parte li dichiara inammissibili e in parte li rigetta. </w:t>
      </w:r>
      <w:r w:rsidRPr="001839E3">
        <w:rPr>
          <w:rFonts w:ascii="Times New Roman" w:eastAsia="Times New Roman" w:hAnsi="Times New Roman" w:cs="Times New Roman"/>
          <w:color w:val="3D3B39"/>
          <w:lang w:eastAsia="it-IT"/>
        </w:rPr>
        <w:br/>
        <w:t xml:space="preserve">Condanna la ricorrente alle spese e competenze del giudizio, che liquida in complessivi € 5.000 (cinquemila), oltre spese generali, ex art. 14 tariffario forense, </w:t>
      </w:r>
      <w:proofErr w:type="spellStart"/>
      <w:r w:rsidRPr="001839E3">
        <w:rPr>
          <w:rFonts w:ascii="Times New Roman" w:eastAsia="Times New Roman" w:hAnsi="Times New Roman" w:cs="Times New Roman"/>
          <w:color w:val="3D3B39"/>
          <w:lang w:eastAsia="it-IT"/>
        </w:rPr>
        <w:t>cpa</w:t>
      </w:r>
      <w:proofErr w:type="spellEnd"/>
      <w:r w:rsidRPr="001839E3">
        <w:rPr>
          <w:rFonts w:ascii="Times New Roman" w:eastAsia="Times New Roman" w:hAnsi="Times New Roman" w:cs="Times New Roman"/>
          <w:color w:val="3D3B39"/>
          <w:lang w:eastAsia="it-IT"/>
        </w:rPr>
        <w:t xml:space="preserve"> e iva, a favore di ciascuna parte costituita. </w:t>
      </w:r>
      <w:r w:rsidRPr="001839E3">
        <w:rPr>
          <w:rFonts w:ascii="Times New Roman" w:eastAsia="Times New Roman" w:hAnsi="Times New Roman" w:cs="Times New Roman"/>
          <w:color w:val="3D3B39"/>
          <w:lang w:eastAsia="it-IT"/>
        </w:rPr>
        <w:br/>
        <w:t xml:space="preserve">Ordina che la presente sentenza sia eseguita dall'autorità amministrativa. </w:t>
      </w:r>
      <w:r w:rsidRPr="001839E3">
        <w:rPr>
          <w:rFonts w:ascii="Times New Roman" w:eastAsia="Times New Roman" w:hAnsi="Times New Roman" w:cs="Times New Roman"/>
          <w:color w:val="3D3B39"/>
          <w:lang w:eastAsia="it-IT"/>
        </w:rPr>
        <w:br/>
        <w:t xml:space="preserve">Così deciso in Latina nella camera di consiglio del giorno 24 maggio 2018 con l'intervento dei magistrati: </w:t>
      </w:r>
      <w:r w:rsidRPr="001839E3">
        <w:rPr>
          <w:rFonts w:ascii="Times New Roman" w:eastAsia="Times New Roman" w:hAnsi="Times New Roman" w:cs="Times New Roman"/>
          <w:color w:val="3D3B39"/>
          <w:lang w:eastAsia="it-IT"/>
        </w:rPr>
        <w:br/>
        <w:t xml:space="preserve">Antonio Vinciguerra, Presidente </w:t>
      </w:r>
      <w:r w:rsidRPr="001839E3">
        <w:rPr>
          <w:rFonts w:ascii="Times New Roman" w:eastAsia="Times New Roman" w:hAnsi="Times New Roman" w:cs="Times New Roman"/>
          <w:color w:val="3D3B39"/>
          <w:lang w:eastAsia="it-IT"/>
        </w:rPr>
        <w:br/>
        <w:t xml:space="preserve">Antonio Massimo Marra, Consigliere </w:t>
      </w:r>
      <w:r w:rsidRPr="001839E3">
        <w:rPr>
          <w:rFonts w:ascii="Times New Roman" w:eastAsia="Times New Roman" w:hAnsi="Times New Roman" w:cs="Times New Roman"/>
          <w:color w:val="3D3B39"/>
          <w:lang w:eastAsia="it-IT"/>
        </w:rPr>
        <w:br/>
        <w:t xml:space="preserve">Roberto Maria Bucchi, Consigliere, Estensore </w:t>
      </w:r>
    </w:p>
    <w:p w:rsidR="001839E3" w:rsidRPr="006A4D7A" w:rsidRDefault="001839E3">
      <w:pPr>
        <w:rPr>
          <w:rFonts w:ascii="Times New Roman" w:hAnsi="Times New Roman" w:cs="Times New Roman"/>
        </w:rPr>
      </w:pPr>
      <w:bookmarkStart w:id="0" w:name="_GoBack"/>
      <w:bookmarkEnd w:id="0"/>
    </w:p>
    <w:sectPr w:rsidR="001839E3" w:rsidRPr="006A4D7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altName w:val="Times New Roman"/>
    <w:charset w:val="00"/>
    <w:family w:val="auto"/>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D14"/>
    <w:rsid w:val="001839E3"/>
    <w:rsid w:val="006A4D7A"/>
    <w:rsid w:val="00CA0328"/>
    <w:rsid w:val="00E10D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75730">
      <w:bodyDiv w:val="1"/>
      <w:marLeft w:val="0"/>
      <w:marRight w:val="0"/>
      <w:marTop w:val="0"/>
      <w:marBottom w:val="0"/>
      <w:divBdr>
        <w:top w:val="none" w:sz="0" w:space="0" w:color="auto"/>
        <w:left w:val="none" w:sz="0" w:space="0" w:color="auto"/>
        <w:bottom w:val="none" w:sz="0" w:space="0" w:color="auto"/>
        <w:right w:val="none" w:sz="0" w:space="0" w:color="auto"/>
      </w:divBdr>
      <w:divsChild>
        <w:div w:id="697243126">
          <w:marLeft w:val="0"/>
          <w:marRight w:val="0"/>
          <w:marTop w:val="0"/>
          <w:marBottom w:val="0"/>
          <w:divBdr>
            <w:top w:val="none" w:sz="0" w:space="0" w:color="auto"/>
            <w:left w:val="none" w:sz="0" w:space="0" w:color="auto"/>
            <w:bottom w:val="none" w:sz="0" w:space="0" w:color="auto"/>
            <w:right w:val="none" w:sz="0" w:space="0" w:color="auto"/>
          </w:divBdr>
          <w:divsChild>
            <w:div w:id="813723053">
              <w:marLeft w:val="0"/>
              <w:marRight w:val="0"/>
              <w:marTop w:val="0"/>
              <w:marBottom w:val="0"/>
              <w:divBdr>
                <w:top w:val="none" w:sz="0" w:space="0" w:color="auto"/>
                <w:left w:val="none" w:sz="0" w:space="0" w:color="auto"/>
                <w:bottom w:val="none" w:sz="0" w:space="0" w:color="auto"/>
                <w:right w:val="none" w:sz="0" w:space="0" w:color="auto"/>
              </w:divBdr>
              <w:divsChild>
                <w:div w:id="368144890">
                  <w:marLeft w:val="-225"/>
                  <w:marRight w:val="-225"/>
                  <w:marTop w:val="0"/>
                  <w:marBottom w:val="0"/>
                  <w:divBdr>
                    <w:top w:val="none" w:sz="0" w:space="0" w:color="auto"/>
                    <w:left w:val="none" w:sz="0" w:space="0" w:color="auto"/>
                    <w:bottom w:val="none" w:sz="0" w:space="0" w:color="auto"/>
                    <w:right w:val="none" w:sz="0" w:space="0" w:color="auto"/>
                  </w:divBdr>
                  <w:divsChild>
                    <w:div w:id="1152984381">
                      <w:marLeft w:val="0"/>
                      <w:marRight w:val="0"/>
                      <w:marTop w:val="0"/>
                      <w:marBottom w:val="0"/>
                      <w:divBdr>
                        <w:top w:val="none" w:sz="0" w:space="0" w:color="auto"/>
                        <w:left w:val="none" w:sz="0" w:space="0" w:color="auto"/>
                        <w:bottom w:val="none" w:sz="0" w:space="0" w:color="auto"/>
                        <w:right w:val="none" w:sz="0" w:space="0" w:color="auto"/>
                      </w:divBdr>
                      <w:divsChild>
                        <w:div w:id="1223977676">
                          <w:marLeft w:val="-225"/>
                          <w:marRight w:val="-225"/>
                          <w:marTop w:val="0"/>
                          <w:marBottom w:val="0"/>
                          <w:divBdr>
                            <w:top w:val="none" w:sz="0" w:space="0" w:color="auto"/>
                            <w:left w:val="none" w:sz="0" w:space="0" w:color="auto"/>
                            <w:bottom w:val="none" w:sz="0" w:space="0" w:color="auto"/>
                            <w:right w:val="none" w:sz="0" w:space="0" w:color="auto"/>
                          </w:divBdr>
                          <w:divsChild>
                            <w:div w:id="903491979">
                              <w:marLeft w:val="0"/>
                              <w:marRight w:val="0"/>
                              <w:marTop w:val="0"/>
                              <w:marBottom w:val="0"/>
                              <w:divBdr>
                                <w:top w:val="none" w:sz="0" w:space="0" w:color="auto"/>
                                <w:left w:val="none" w:sz="0" w:space="0" w:color="auto"/>
                                <w:bottom w:val="none" w:sz="0" w:space="0" w:color="auto"/>
                                <w:right w:val="none" w:sz="0" w:space="0" w:color="auto"/>
                              </w:divBdr>
                              <w:divsChild>
                                <w:div w:id="960766569">
                                  <w:marLeft w:val="0"/>
                                  <w:marRight w:val="0"/>
                                  <w:marTop w:val="0"/>
                                  <w:marBottom w:val="0"/>
                                  <w:divBdr>
                                    <w:top w:val="none" w:sz="0" w:space="0" w:color="auto"/>
                                    <w:left w:val="none" w:sz="0" w:space="0" w:color="auto"/>
                                    <w:bottom w:val="none" w:sz="0" w:space="0" w:color="auto"/>
                                    <w:right w:val="none" w:sz="0" w:space="0" w:color="auto"/>
                                  </w:divBdr>
                                  <w:divsChild>
                                    <w:div w:id="237787554">
                                      <w:marLeft w:val="-225"/>
                                      <w:marRight w:val="-225"/>
                                      <w:marTop w:val="0"/>
                                      <w:marBottom w:val="0"/>
                                      <w:divBdr>
                                        <w:top w:val="none" w:sz="0" w:space="0" w:color="auto"/>
                                        <w:left w:val="none" w:sz="0" w:space="0" w:color="auto"/>
                                        <w:bottom w:val="none" w:sz="0" w:space="0" w:color="auto"/>
                                        <w:right w:val="none" w:sz="0" w:space="0" w:color="auto"/>
                                      </w:divBdr>
                                      <w:divsChild>
                                        <w:div w:id="1561091489">
                                          <w:marLeft w:val="0"/>
                                          <w:marRight w:val="0"/>
                                          <w:marTop w:val="0"/>
                                          <w:marBottom w:val="0"/>
                                          <w:divBdr>
                                            <w:top w:val="none" w:sz="0" w:space="0" w:color="auto"/>
                                            <w:left w:val="none" w:sz="0" w:space="0" w:color="auto"/>
                                            <w:bottom w:val="none" w:sz="0" w:space="0" w:color="auto"/>
                                            <w:right w:val="none" w:sz="0" w:space="0" w:color="auto"/>
                                          </w:divBdr>
                                          <w:divsChild>
                                            <w:div w:id="8809118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1647656">
      <w:bodyDiv w:val="1"/>
      <w:marLeft w:val="0"/>
      <w:marRight w:val="0"/>
      <w:marTop w:val="0"/>
      <w:marBottom w:val="0"/>
      <w:divBdr>
        <w:top w:val="none" w:sz="0" w:space="0" w:color="auto"/>
        <w:left w:val="none" w:sz="0" w:space="0" w:color="auto"/>
        <w:bottom w:val="none" w:sz="0" w:space="0" w:color="auto"/>
        <w:right w:val="none" w:sz="0" w:space="0" w:color="auto"/>
      </w:divBdr>
      <w:divsChild>
        <w:div w:id="547304589">
          <w:marLeft w:val="0"/>
          <w:marRight w:val="0"/>
          <w:marTop w:val="0"/>
          <w:marBottom w:val="0"/>
          <w:divBdr>
            <w:top w:val="none" w:sz="0" w:space="0" w:color="auto"/>
            <w:left w:val="none" w:sz="0" w:space="0" w:color="auto"/>
            <w:bottom w:val="none" w:sz="0" w:space="0" w:color="auto"/>
            <w:right w:val="none" w:sz="0" w:space="0" w:color="auto"/>
          </w:divBdr>
          <w:divsChild>
            <w:div w:id="1123226706">
              <w:marLeft w:val="0"/>
              <w:marRight w:val="0"/>
              <w:marTop w:val="0"/>
              <w:marBottom w:val="0"/>
              <w:divBdr>
                <w:top w:val="none" w:sz="0" w:space="0" w:color="auto"/>
                <w:left w:val="none" w:sz="0" w:space="0" w:color="auto"/>
                <w:bottom w:val="none" w:sz="0" w:space="0" w:color="auto"/>
                <w:right w:val="none" w:sz="0" w:space="0" w:color="auto"/>
              </w:divBdr>
              <w:divsChild>
                <w:div w:id="843934686">
                  <w:marLeft w:val="-225"/>
                  <w:marRight w:val="-225"/>
                  <w:marTop w:val="0"/>
                  <w:marBottom w:val="0"/>
                  <w:divBdr>
                    <w:top w:val="none" w:sz="0" w:space="0" w:color="auto"/>
                    <w:left w:val="none" w:sz="0" w:space="0" w:color="auto"/>
                    <w:bottom w:val="none" w:sz="0" w:space="0" w:color="auto"/>
                    <w:right w:val="none" w:sz="0" w:space="0" w:color="auto"/>
                  </w:divBdr>
                  <w:divsChild>
                    <w:div w:id="787351971">
                      <w:marLeft w:val="0"/>
                      <w:marRight w:val="0"/>
                      <w:marTop w:val="0"/>
                      <w:marBottom w:val="0"/>
                      <w:divBdr>
                        <w:top w:val="none" w:sz="0" w:space="0" w:color="auto"/>
                        <w:left w:val="none" w:sz="0" w:space="0" w:color="auto"/>
                        <w:bottom w:val="none" w:sz="0" w:space="0" w:color="auto"/>
                        <w:right w:val="none" w:sz="0" w:space="0" w:color="auto"/>
                      </w:divBdr>
                      <w:divsChild>
                        <w:div w:id="1856379720">
                          <w:marLeft w:val="-225"/>
                          <w:marRight w:val="-225"/>
                          <w:marTop w:val="0"/>
                          <w:marBottom w:val="0"/>
                          <w:divBdr>
                            <w:top w:val="none" w:sz="0" w:space="0" w:color="auto"/>
                            <w:left w:val="none" w:sz="0" w:space="0" w:color="auto"/>
                            <w:bottom w:val="none" w:sz="0" w:space="0" w:color="auto"/>
                            <w:right w:val="none" w:sz="0" w:space="0" w:color="auto"/>
                          </w:divBdr>
                          <w:divsChild>
                            <w:div w:id="1888831312">
                              <w:marLeft w:val="0"/>
                              <w:marRight w:val="0"/>
                              <w:marTop w:val="0"/>
                              <w:marBottom w:val="0"/>
                              <w:divBdr>
                                <w:top w:val="none" w:sz="0" w:space="0" w:color="auto"/>
                                <w:left w:val="none" w:sz="0" w:space="0" w:color="auto"/>
                                <w:bottom w:val="none" w:sz="0" w:space="0" w:color="auto"/>
                                <w:right w:val="none" w:sz="0" w:space="0" w:color="auto"/>
                              </w:divBdr>
                              <w:divsChild>
                                <w:div w:id="267584999">
                                  <w:marLeft w:val="0"/>
                                  <w:marRight w:val="0"/>
                                  <w:marTop w:val="0"/>
                                  <w:marBottom w:val="0"/>
                                  <w:divBdr>
                                    <w:top w:val="none" w:sz="0" w:space="0" w:color="auto"/>
                                    <w:left w:val="none" w:sz="0" w:space="0" w:color="auto"/>
                                    <w:bottom w:val="none" w:sz="0" w:space="0" w:color="auto"/>
                                    <w:right w:val="none" w:sz="0" w:space="0" w:color="auto"/>
                                  </w:divBdr>
                                  <w:divsChild>
                                    <w:div w:id="420106313">
                                      <w:marLeft w:val="-225"/>
                                      <w:marRight w:val="-225"/>
                                      <w:marTop w:val="0"/>
                                      <w:marBottom w:val="0"/>
                                      <w:divBdr>
                                        <w:top w:val="none" w:sz="0" w:space="0" w:color="auto"/>
                                        <w:left w:val="none" w:sz="0" w:space="0" w:color="auto"/>
                                        <w:bottom w:val="none" w:sz="0" w:space="0" w:color="auto"/>
                                        <w:right w:val="none" w:sz="0" w:space="0" w:color="auto"/>
                                      </w:divBdr>
                                      <w:divsChild>
                                        <w:div w:id="982929905">
                                          <w:marLeft w:val="0"/>
                                          <w:marRight w:val="0"/>
                                          <w:marTop w:val="0"/>
                                          <w:marBottom w:val="0"/>
                                          <w:divBdr>
                                            <w:top w:val="none" w:sz="0" w:space="0" w:color="auto"/>
                                            <w:left w:val="none" w:sz="0" w:space="0" w:color="auto"/>
                                            <w:bottom w:val="none" w:sz="0" w:space="0" w:color="auto"/>
                                            <w:right w:val="none" w:sz="0" w:space="0" w:color="auto"/>
                                          </w:divBdr>
                                          <w:divsChild>
                                            <w:div w:id="144299303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3654324">
      <w:bodyDiv w:val="1"/>
      <w:marLeft w:val="0"/>
      <w:marRight w:val="0"/>
      <w:marTop w:val="0"/>
      <w:marBottom w:val="0"/>
      <w:divBdr>
        <w:top w:val="none" w:sz="0" w:space="0" w:color="auto"/>
        <w:left w:val="none" w:sz="0" w:space="0" w:color="auto"/>
        <w:bottom w:val="none" w:sz="0" w:space="0" w:color="auto"/>
        <w:right w:val="none" w:sz="0" w:space="0" w:color="auto"/>
      </w:divBdr>
      <w:divsChild>
        <w:div w:id="812328449">
          <w:marLeft w:val="0"/>
          <w:marRight w:val="0"/>
          <w:marTop w:val="0"/>
          <w:marBottom w:val="0"/>
          <w:divBdr>
            <w:top w:val="none" w:sz="0" w:space="0" w:color="auto"/>
            <w:left w:val="none" w:sz="0" w:space="0" w:color="auto"/>
            <w:bottom w:val="none" w:sz="0" w:space="0" w:color="auto"/>
            <w:right w:val="none" w:sz="0" w:space="0" w:color="auto"/>
          </w:divBdr>
          <w:divsChild>
            <w:div w:id="2034452199">
              <w:marLeft w:val="0"/>
              <w:marRight w:val="0"/>
              <w:marTop w:val="0"/>
              <w:marBottom w:val="0"/>
              <w:divBdr>
                <w:top w:val="none" w:sz="0" w:space="0" w:color="auto"/>
                <w:left w:val="none" w:sz="0" w:space="0" w:color="auto"/>
                <w:bottom w:val="none" w:sz="0" w:space="0" w:color="auto"/>
                <w:right w:val="none" w:sz="0" w:space="0" w:color="auto"/>
              </w:divBdr>
              <w:divsChild>
                <w:div w:id="761143628">
                  <w:marLeft w:val="-225"/>
                  <w:marRight w:val="-225"/>
                  <w:marTop w:val="0"/>
                  <w:marBottom w:val="0"/>
                  <w:divBdr>
                    <w:top w:val="none" w:sz="0" w:space="0" w:color="auto"/>
                    <w:left w:val="none" w:sz="0" w:space="0" w:color="auto"/>
                    <w:bottom w:val="none" w:sz="0" w:space="0" w:color="auto"/>
                    <w:right w:val="none" w:sz="0" w:space="0" w:color="auto"/>
                  </w:divBdr>
                  <w:divsChild>
                    <w:div w:id="484711143">
                      <w:marLeft w:val="0"/>
                      <w:marRight w:val="0"/>
                      <w:marTop w:val="0"/>
                      <w:marBottom w:val="0"/>
                      <w:divBdr>
                        <w:top w:val="none" w:sz="0" w:space="0" w:color="auto"/>
                        <w:left w:val="none" w:sz="0" w:space="0" w:color="auto"/>
                        <w:bottom w:val="none" w:sz="0" w:space="0" w:color="auto"/>
                        <w:right w:val="none" w:sz="0" w:space="0" w:color="auto"/>
                      </w:divBdr>
                      <w:divsChild>
                        <w:div w:id="1099525365">
                          <w:marLeft w:val="-225"/>
                          <w:marRight w:val="-225"/>
                          <w:marTop w:val="0"/>
                          <w:marBottom w:val="0"/>
                          <w:divBdr>
                            <w:top w:val="none" w:sz="0" w:space="0" w:color="auto"/>
                            <w:left w:val="none" w:sz="0" w:space="0" w:color="auto"/>
                            <w:bottom w:val="none" w:sz="0" w:space="0" w:color="auto"/>
                            <w:right w:val="none" w:sz="0" w:space="0" w:color="auto"/>
                          </w:divBdr>
                          <w:divsChild>
                            <w:div w:id="1725136343">
                              <w:marLeft w:val="0"/>
                              <w:marRight w:val="0"/>
                              <w:marTop w:val="0"/>
                              <w:marBottom w:val="0"/>
                              <w:divBdr>
                                <w:top w:val="none" w:sz="0" w:space="0" w:color="auto"/>
                                <w:left w:val="none" w:sz="0" w:space="0" w:color="auto"/>
                                <w:bottom w:val="none" w:sz="0" w:space="0" w:color="auto"/>
                                <w:right w:val="none" w:sz="0" w:space="0" w:color="auto"/>
                              </w:divBdr>
                              <w:divsChild>
                                <w:div w:id="105079057">
                                  <w:marLeft w:val="0"/>
                                  <w:marRight w:val="0"/>
                                  <w:marTop w:val="0"/>
                                  <w:marBottom w:val="0"/>
                                  <w:divBdr>
                                    <w:top w:val="none" w:sz="0" w:space="0" w:color="auto"/>
                                    <w:left w:val="none" w:sz="0" w:space="0" w:color="auto"/>
                                    <w:bottom w:val="none" w:sz="0" w:space="0" w:color="auto"/>
                                    <w:right w:val="none" w:sz="0" w:space="0" w:color="auto"/>
                                  </w:divBdr>
                                  <w:divsChild>
                                    <w:div w:id="2072264882">
                                      <w:marLeft w:val="-225"/>
                                      <w:marRight w:val="-225"/>
                                      <w:marTop w:val="0"/>
                                      <w:marBottom w:val="0"/>
                                      <w:divBdr>
                                        <w:top w:val="none" w:sz="0" w:space="0" w:color="auto"/>
                                        <w:left w:val="none" w:sz="0" w:space="0" w:color="auto"/>
                                        <w:bottom w:val="none" w:sz="0" w:space="0" w:color="auto"/>
                                        <w:right w:val="none" w:sz="0" w:space="0" w:color="auto"/>
                                      </w:divBdr>
                                      <w:divsChild>
                                        <w:div w:id="19354663">
                                          <w:marLeft w:val="0"/>
                                          <w:marRight w:val="0"/>
                                          <w:marTop w:val="0"/>
                                          <w:marBottom w:val="0"/>
                                          <w:divBdr>
                                            <w:top w:val="none" w:sz="0" w:space="0" w:color="auto"/>
                                            <w:left w:val="none" w:sz="0" w:space="0" w:color="auto"/>
                                            <w:bottom w:val="none" w:sz="0" w:space="0" w:color="auto"/>
                                            <w:right w:val="none" w:sz="0" w:space="0" w:color="auto"/>
                                          </w:divBdr>
                                          <w:divsChild>
                                            <w:div w:id="195042556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0358710">
      <w:bodyDiv w:val="1"/>
      <w:marLeft w:val="0"/>
      <w:marRight w:val="0"/>
      <w:marTop w:val="0"/>
      <w:marBottom w:val="0"/>
      <w:divBdr>
        <w:top w:val="none" w:sz="0" w:space="0" w:color="auto"/>
        <w:left w:val="none" w:sz="0" w:space="0" w:color="auto"/>
        <w:bottom w:val="none" w:sz="0" w:space="0" w:color="auto"/>
        <w:right w:val="none" w:sz="0" w:space="0" w:color="auto"/>
      </w:divBdr>
      <w:divsChild>
        <w:div w:id="2058818422">
          <w:marLeft w:val="0"/>
          <w:marRight w:val="0"/>
          <w:marTop w:val="0"/>
          <w:marBottom w:val="0"/>
          <w:divBdr>
            <w:top w:val="none" w:sz="0" w:space="0" w:color="auto"/>
            <w:left w:val="none" w:sz="0" w:space="0" w:color="auto"/>
            <w:bottom w:val="none" w:sz="0" w:space="0" w:color="auto"/>
            <w:right w:val="none" w:sz="0" w:space="0" w:color="auto"/>
          </w:divBdr>
          <w:divsChild>
            <w:div w:id="1525751860">
              <w:marLeft w:val="0"/>
              <w:marRight w:val="0"/>
              <w:marTop w:val="0"/>
              <w:marBottom w:val="0"/>
              <w:divBdr>
                <w:top w:val="none" w:sz="0" w:space="0" w:color="auto"/>
                <w:left w:val="none" w:sz="0" w:space="0" w:color="auto"/>
                <w:bottom w:val="none" w:sz="0" w:space="0" w:color="auto"/>
                <w:right w:val="none" w:sz="0" w:space="0" w:color="auto"/>
              </w:divBdr>
              <w:divsChild>
                <w:div w:id="837891248">
                  <w:marLeft w:val="-225"/>
                  <w:marRight w:val="-225"/>
                  <w:marTop w:val="0"/>
                  <w:marBottom w:val="0"/>
                  <w:divBdr>
                    <w:top w:val="none" w:sz="0" w:space="0" w:color="auto"/>
                    <w:left w:val="none" w:sz="0" w:space="0" w:color="auto"/>
                    <w:bottom w:val="none" w:sz="0" w:space="0" w:color="auto"/>
                    <w:right w:val="none" w:sz="0" w:space="0" w:color="auto"/>
                  </w:divBdr>
                  <w:divsChild>
                    <w:div w:id="1485733731">
                      <w:marLeft w:val="0"/>
                      <w:marRight w:val="0"/>
                      <w:marTop w:val="0"/>
                      <w:marBottom w:val="0"/>
                      <w:divBdr>
                        <w:top w:val="none" w:sz="0" w:space="0" w:color="auto"/>
                        <w:left w:val="none" w:sz="0" w:space="0" w:color="auto"/>
                        <w:bottom w:val="none" w:sz="0" w:space="0" w:color="auto"/>
                        <w:right w:val="none" w:sz="0" w:space="0" w:color="auto"/>
                      </w:divBdr>
                      <w:divsChild>
                        <w:div w:id="81218197">
                          <w:marLeft w:val="-225"/>
                          <w:marRight w:val="-225"/>
                          <w:marTop w:val="0"/>
                          <w:marBottom w:val="0"/>
                          <w:divBdr>
                            <w:top w:val="none" w:sz="0" w:space="0" w:color="auto"/>
                            <w:left w:val="none" w:sz="0" w:space="0" w:color="auto"/>
                            <w:bottom w:val="none" w:sz="0" w:space="0" w:color="auto"/>
                            <w:right w:val="none" w:sz="0" w:space="0" w:color="auto"/>
                          </w:divBdr>
                          <w:divsChild>
                            <w:div w:id="758334112">
                              <w:marLeft w:val="0"/>
                              <w:marRight w:val="0"/>
                              <w:marTop w:val="0"/>
                              <w:marBottom w:val="0"/>
                              <w:divBdr>
                                <w:top w:val="none" w:sz="0" w:space="0" w:color="auto"/>
                                <w:left w:val="none" w:sz="0" w:space="0" w:color="auto"/>
                                <w:bottom w:val="none" w:sz="0" w:space="0" w:color="auto"/>
                                <w:right w:val="none" w:sz="0" w:space="0" w:color="auto"/>
                              </w:divBdr>
                              <w:divsChild>
                                <w:div w:id="1908949938">
                                  <w:marLeft w:val="0"/>
                                  <w:marRight w:val="0"/>
                                  <w:marTop w:val="0"/>
                                  <w:marBottom w:val="0"/>
                                  <w:divBdr>
                                    <w:top w:val="none" w:sz="0" w:space="0" w:color="auto"/>
                                    <w:left w:val="none" w:sz="0" w:space="0" w:color="auto"/>
                                    <w:bottom w:val="none" w:sz="0" w:space="0" w:color="auto"/>
                                    <w:right w:val="none" w:sz="0" w:space="0" w:color="auto"/>
                                  </w:divBdr>
                                  <w:divsChild>
                                    <w:div w:id="311909962">
                                      <w:marLeft w:val="-225"/>
                                      <w:marRight w:val="-225"/>
                                      <w:marTop w:val="0"/>
                                      <w:marBottom w:val="0"/>
                                      <w:divBdr>
                                        <w:top w:val="none" w:sz="0" w:space="0" w:color="auto"/>
                                        <w:left w:val="none" w:sz="0" w:space="0" w:color="auto"/>
                                        <w:bottom w:val="none" w:sz="0" w:space="0" w:color="auto"/>
                                        <w:right w:val="none" w:sz="0" w:space="0" w:color="auto"/>
                                      </w:divBdr>
                                      <w:divsChild>
                                        <w:div w:id="1829395583">
                                          <w:marLeft w:val="0"/>
                                          <w:marRight w:val="0"/>
                                          <w:marTop w:val="0"/>
                                          <w:marBottom w:val="0"/>
                                          <w:divBdr>
                                            <w:top w:val="none" w:sz="0" w:space="0" w:color="auto"/>
                                            <w:left w:val="none" w:sz="0" w:space="0" w:color="auto"/>
                                            <w:bottom w:val="none" w:sz="0" w:space="0" w:color="auto"/>
                                            <w:right w:val="none" w:sz="0" w:space="0" w:color="auto"/>
                                          </w:divBdr>
                                          <w:divsChild>
                                            <w:div w:id="34532883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5133088">
      <w:bodyDiv w:val="1"/>
      <w:marLeft w:val="0"/>
      <w:marRight w:val="0"/>
      <w:marTop w:val="0"/>
      <w:marBottom w:val="0"/>
      <w:divBdr>
        <w:top w:val="none" w:sz="0" w:space="0" w:color="auto"/>
        <w:left w:val="none" w:sz="0" w:space="0" w:color="auto"/>
        <w:bottom w:val="none" w:sz="0" w:space="0" w:color="auto"/>
        <w:right w:val="none" w:sz="0" w:space="0" w:color="auto"/>
      </w:divBdr>
      <w:divsChild>
        <w:div w:id="1364742321">
          <w:marLeft w:val="0"/>
          <w:marRight w:val="0"/>
          <w:marTop w:val="0"/>
          <w:marBottom w:val="0"/>
          <w:divBdr>
            <w:top w:val="none" w:sz="0" w:space="0" w:color="auto"/>
            <w:left w:val="none" w:sz="0" w:space="0" w:color="auto"/>
            <w:bottom w:val="none" w:sz="0" w:space="0" w:color="auto"/>
            <w:right w:val="none" w:sz="0" w:space="0" w:color="auto"/>
          </w:divBdr>
          <w:divsChild>
            <w:div w:id="1150707638">
              <w:marLeft w:val="0"/>
              <w:marRight w:val="0"/>
              <w:marTop w:val="0"/>
              <w:marBottom w:val="0"/>
              <w:divBdr>
                <w:top w:val="none" w:sz="0" w:space="0" w:color="auto"/>
                <w:left w:val="none" w:sz="0" w:space="0" w:color="auto"/>
                <w:bottom w:val="none" w:sz="0" w:space="0" w:color="auto"/>
                <w:right w:val="none" w:sz="0" w:space="0" w:color="auto"/>
              </w:divBdr>
              <w:divsChild>
                <w:div w:id="1905068401">
                  <w:marLeft w:val="-225"/>
                  <w:marRight w:val="-225"/>
                  <w:marTop w:val="0"/>
                  <w:marBottom w:val="0"/>
                  <w:divBdr>
                    <w:top w:val="none" w:sz="0" w:space="0" w:color="auto"/>
                    <w:left w:val="none" w:sz="0" w:space="0" w:color="auto"/>
                    <w:bottom w:val="none" w:sz="0" w:space="0" w:color="auto"/>
                    <w:right w:val="none" w:sz="0" w:space="0" w:color="auto"/>
                  </w:divBdr>
                  <w:divsChild>
                    <w:div w:id="549079168">
                      <w:marLeft w:val="0"/>
                      <w:marRight w:val="0"/>
                      <w:marTop w:val="0"/>
                      <w:marBottom w:val="0"/>
                      <w:divBdr>
                        <w:top w:val="none" w:sz="0" w:space="0" w:color="auto"/>
                        <w:left w:val="none" w:sz="0" w:space="0" w:color="auto"/>
                        <w:bottom w:val="none" w:sz="0" w:space="0" w:color="auto"/>
                        <w:right w:val="none" w:sz="0" w:space="0" w:color="auto"/>
                      </w:divBdr>
                      <w:divsChild>
                        <w:div w:id="1975520017">
                          <w:marLeft w:val="-225"/>
                          <w:marRight w:val="-225"/>
                          <w:marTop w:val="0"/>
                          <w:marBottom w:val="0"/>
                          <w:divBdr>
                            <w:top w:val="none" w:sz="0" w:space="0" w:color="auto"/>
                            <w:left w:val="none" w:sz="0" w:space="0" w:color="auto"/>
                            <w:bottom w:val="none" w:sz="0" w:space="0" w:color="auto"/>
                            <w:right w:val="none" w:sz="0" w:space="0" w:color="auto"/>
                          </w:divBdr>
                          <w:divsChild>
                            <w:div w:id="141044008">
                              <w:marLeft w:val="0"/>
                              <w:marRight w:val="0"/>
                              <w:marTop w:val="0"/>
                              <w:marBottom w:val="0"/>
                              <w:divBdr>
                                <w:top w:val="none" w:sz="0" w:space="0" w:color="auto"/>
                                <w:left w:val="none" w:sz="0" w:space="0" w:color="auto"/>
                                <w:bottom w:val="none" w:sz="0" w:space="0" w:color="auto"/>
                                <w:right w:val="none" w:sz="0" w:space="0" w:color="auto"/>
                              </w:divBdr>
                              <w:divsChild>
                                <w:div w:id="990328366">
                                  <w:marLeft w:val="0"/>
                                  <w:marRight w:val="0"/>
                                  <w:marTop w:val="0"/>
                                  <w:marBottom w:val="0"/>
                                  <w:divBdr>
                                    <w:top w:val="none" w:sz="0" w:space="0" w:color="auto"/>
                                    <w:left w:val="none" w:sz="0" w:space="0" w:color="auto"/>
                                    <w:bottom w:val="none" w:sz="0" w:space="0" w:color="auto"/>
                                    <w:right w:val="none" w:sz="0" w:space="0" w:color="auto"/>
                                  </w:divBdr>
                                  <w:divsChild>
                                    <w:div w:id="1746417639">
                                      <w:marLeft w:val="-225"/>
                                      <w:marRight w:val="-225"/>
                                      <w:marTop w:val="0"/>
                                      <w:marBottom w:val="0"/>
                                      <w:divBdr>
                                        <w:top w:val="none" w:sz="0" w:space="0" w:color="auto"/>
                                        <w:left w:val="none" w:sz="0" w:space="0" w:color="auto"/>
                                        <w:bottom w:val="none" w:sz="0" w:space="0" w:color="auto"/>
                                        <w:right w:val="none" w:sz="0" w:space="0" w:color="auto"/>
                                      </w:divBdr>
                                      <w:divsChild>
                                        <w:div w:id="1103067047">
                                          <w:marLeft w:val="0"/>
                                          <w:marRight w:val="0"/>
                                          <w:marTop w:val="0"/>
                                          <w:marBottom w:val="0"/>
                                          <w:divBdr>
                                            <w:top w:val="none" w:sz="0" w:space="0" w:color="auto"/>
                                            <w:left w:val="none" w:sz="0" w:space="0" w:color="auto"/>
                                            <w:bottom w:val="none" w:sz="0" w:space="0" w:color="auto"/>
                                            <w:right w:val="none" w:sz="0" w:space="0" w:color="auto"/>
                                          </w:divBdr>
                                          <w:divsChild>
                                            <w:div w:id="150216485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8167652">
      <w:bodyDiv w:val="1"/>
      <w:marLeft w:val="0"/>
      <w:marRight w:val="0"/>
      <w:marTop w:val="0"/>
      <w:marBottom w:val="0"/>
      <w:divBdr>
        <w:top w:val="none" w:sz="0" w:space="0" w:color="auto"/>
        <w:left w:val="none" w:sz="0" w:space="0" w:color="auto"/>
        <w:bottom w:val="none" w:sz="0" w:space="0" w:color="auto"/>
        <w:right w:val="none" w:sz="0" w:space="0" w:color="auto"/>
      </w:divBdr>
      <w:divsChild>
        <w:div w:id="616571034">
          <w:marLeft w:val="0"/>
          <w:marRight w:val="0"/>
          <w:marTop w:val="0"/>
          <w:marBottom w:val="0"/>
          <w:divBdr>
            <w:top w:val="none" w:sz="0" w:space="0" w:color="auto"/>
            <w:left w:val="none" w:sz="0" w:space="0" w:color="auto"/>
            <w:bottom w:val="none" w:sz="0" w:space="0" w:color="auto"/>
            <w:right w:val="none" w:sz="0" w:space="0" w:color="auto"/>
          </w:divBdr>
          <w:divsChild>
            <w:div w:id="1941601450">
              <w:marLeft w:val="0"/>
              <w:marRight w:val="0"/>
              <w:marTop w:val="0"/>
              <w:marBottom w:val="0"/>
              <w:divBdr>
                <w:top w:val="none" w:sz="0" w:space="0" w:color="auto"/>
                <w:left w:val="none" w:sz="0" w:space="0" w:color="auto"/>
                <w:bottom w:val="none" w:sz="0" w:space="0" w:color="auto"/>
                <w:right w:val="none" w:sz="0" w:space="0" w:color="auto"/>
              </w:divBdr>
              <w:divsChild>
                <w:div w:id="1828596949">
                  <w:marLeft w:val="-225"/>
                  <w:marRight w:val="-225"/>
                  <w:marTop w:val="0"/>
                  <w:marBottom w:val="0"/>
                  <w:divBdr>
                    <w:top w:val="none" w:sz="0" w:space="0" w:color="auto"/>
                    <w:left w:val="none" w:sz="0" w:space="0" w:color="auto"/>
                    <w:bottom w:val="none" w:sz="0" w:space="0" w:color="auto"/>
                    <w:right w:val="none" w:sz="0" w:space="0" w:color="auto"/>
                  </w:divBdr>
                  <w:divsChild>
                    <w:div w:id="213659280">
                      <w:marLeft w:val="0"/>
                      <w:marRight w:val="0"/>
                      <w:marTop w:val="0"/>
                      <w:marBottom w:val="0"/>
                      <w:divBdr>
                        <w:top w:val="none" w:sz="0" w:space="0" w:color="auto"/>
                        <w:left w:val="none" w:sz="0" w:space="0" w:color="auto"/>
                        <w:bottom w:val="none" w:sz="0" w:space="0" w:color="auto"/>
                        <w:right w:val="none" w:sz="0" w:space="0" w:color="auto"/>
                      </w:divBdr>
                      <w:divsChild>
                        <w:div w:id="1175457817">
                          <w:marLeft w:val="-225"/>
                          <w:marRight w:val="-225"/>
                          <w:marTop w:val="0"/>
                          <w:marBottom w:val="0"/>
                          <w:divBdr>
                            <w:top w:val="none" w:sz="0" w:space="0" w:color="auto"/>
                            <w:left w:val="none" w:sz="0" w:space="0" w:color="auto"/>
                            <w:bottom w:val="none" w:sz="0" w:space="0" w:color="auto"/>
                            <w:right w:val="none" w:sz="0" w:space="0" w:color="auto"/>
                          </w:divBdr>
                          <w:divsChild>
                            <w:div w:id="438448353">
                              <w:marLeft w:val="0"/>
                              <w:marRight w:val="0"/>
                              <w:marTop w:val="0"/>
                              <w:marBottom w:val="0"/>
                              <w:divBdr>
                                <w:top w:val="none" w:sz="0" w:space="0" w:color="auto"/>
                                <w:left w:val="none" w:sz="0" w:space="0" w:color="auto"/>
                                <w:bottom w:val="none" w:sz="0" w:space="0" w:color="auto"/>
                                <w:right w:val="none" w:sz="0" w:space="0" w:color="auto"/>
                              </w:divBdr>
                              <w:divsChild>
                                <w:div w:id="1729180773">
                                  <w:marLeft w:val="0"/>
                                  <w:marRight w:val="0"/>
                                  <w:marTop w:val="0"/>
                                  <w:marBottom w:val="0"/>
                                  <w:divBdr>
                                    <w:top w:val="none" w:sz="0" w:space="0" w:color="auto"/>
                                    <w:left w:val="none" w:sz="0" w:space="0" w:color="auto"/>
                                    <w:bottom w:val="none" w:sz="0" w:space="0" w:color="auto"/>
                                    <w:right w:val="none" w:sz="0" w:space="0" w:color="auto"/>
                                  </w:divBdr>
                                  <w:divsChild>
                                    <w:div w:id="449206818">
                                      <w:marLeft w:val="-225"/>
                                      <w:marRight w:val="-225"/>
                                      <w:marTop w:val="0"/>
                                      <w:marBottom w:val="0"/>
                                      <w:divBdr>
                                        <w:top w:val="none" w:sz="0" w:space="0" w:color="auto"/>
                                        <w:left w:val="none" w:sz="0" w:space="0" w:color="auto"/>
                                        <w:bottom w:val="none" w:sz="0" w:space="0" w:color="auto"/>
                                        <w:right w:val="none" w:sz="0" w:space="0" w:color="auto"/>
                                      </w:divBdr>
                                      <w:divsChild>
                                        <w:div w:id="312416655">
                                          <w:marLeft w:val="0"/>
                                          <w:marRight w:val="0"/>
                                          <w:marTop w:val="0"/>
                                          <w:marBottom w:val="0"/>
                                          <w:divBdr>
                                            <w:top w:val="none" w:sz="0" w:space="0" w:color="auto"/>
                                            <w:left w:val="none" w:sz="0" w:space="0" w:color="auto"/>
                                            <w:bottom w:val="none" w:sz="0" w:space="0" w:color="auto"/>
                                            <w:right w:val="none" w:sz="0" w:space="0" w:color="auto"/>
                                          </w:divBdr>
                                          <w:divsChild>
                                            <w:div w:id="67823969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446976">
      <w:bodyDiv w:val="1"/>
      <w:marLeft w:val="0"/>
      <w:marRight w:val="0"/>
      <w:marTop w:val="0"/>
      <w:marBottom w:val="0"/>
      <w:divBdr>
        <w:top w:val="none" w:sz="0" w:space="0" w:color="auto"/>
        <w:left w:val="none" w:sz="0" w:space="0" w:color="auto"/>
        <w:bottom w:val="none" w:sz="0" w:space="0" w:color="auto"/>
        <w:right w:val="none" w:sz="0" w:space="0" w:color="auto"/>
      </w:divBdr>
      <w:divsChild>
        <w:div w:id="940258236">
          <w:marLeft w:val="0"/>
          <w:marRight w:val="0"/>
          <w:marTop w:val="0"/>
          <w:marBottom w:val="0"/>
          <w:divBdr>
            <w:top w:val="none" w:sz="0" w:space="0" w:color="auto"/>
            <w:left w:val="none" w:sz="0" w:space="0" w:color="auto"/>
            <w:bottom w:val="none" w:sz="0" w:space="0" w:color="auto"/>
            <w:right w:val="none" w:sz="0" w:space="0" w:color="auto"/>
          </w:divBdr>
          <w:divsChild>
            <w:div w:id="2780976">
              <w:marLeft w:val="0"/>
              <w:marRight w:val="0"/>
              <w:marTop w:val="0"/>
              <w:marBottom w:val="0"/>
              <w:divBdr>
                <w:top w:val="none" w:sz="0" w:space="0" w:color="auto"/>
                <w:left w:val="none" w:sz="0" w:space="0" w:color="auto"/>
                <w:bottom w:val="none" w:sz="0" w:space="0" w:color="auto"/>
                <w:right w:val="none" w:sz="0" w:space="0" w:color="auto"/>
              </w:divBdr>
              <w:divsChild>
                <w:div w:id="157888115">
                  <w:marLeft w:val="-225"/>
                  <w:marRight w:val="-225"/>
                  <w:marTop w:val="0"/>
                  <w:marBottom w:val="0"/>
                  <w:divBdr>
                    <w:top w:val="none" w:sz="0" w:space="0" w:color="auto"/>
                    <w:left w:val="none" w:sz="0" w:space="0" w:color="auto"/>
                    <w:bottom w:val="none" w:sz="0" w:space="0" w:color="auto"/>
                    <w:right w:val="none" w:sz="0" w:space="0" w:color="auto"/>
                  </w:divBdr>
                  <w:divsChild>
                    <w:div w:id="1056587504">
                      <w:marLeft w:val="0"/>
                      <w:marRight w:val="0"/>
                      <w:marTop w:val="0"/>
                      <w:marBottom w:val="0"/>
                      <w:divBdr>
                        <w:top w:val="none" w:sz="0" w:space="0" w:color="auto"/>
                        <w:left w:val="none" w:sz="0" w:space="0" w:color="auto"/>
                        <w:bottom w:val="none" w:sz="0" w:space="0" w:color="auto"/>
                        <w:right w:val="none" w:sz="0" w:space="0" w:color="auto"/>
                      </w:divBdr>
                      <w:divsChild>
                        <w:div w:id="173037816">
                          <w:marLeft w:val="-225"/>
                          <w:marRight w:val="-225"/>
                          <w:marTop w:val="0"/>
                          <w:marBottom w:val="0"/>
                          <w:divBdr>
                            <w:top w:val="none" w:sz="0" w:space="0" w:color="auto"/>
                            <w:left w:val="none" w:sz="0" w:space="0" w:color="auto"/>
                            <w:bottom w:val="none" w:sz="0" w:space="0" w:color="auto"/>
                            <w:right w:val="none" w:sz="0" w:space="0" w:color="auto"/>
                          </w:divBdr>
                          <w:divsChild>
                            <w:div w:id="560019910">
                              <w:marLeft w:val="0"/>
                              <w:marRight w:val="0"/>
                              <w:marTop w:val="0"/>
                              <w:marBottom w:val="0"/>
                              <w:divBdr>
                                <w:top w:val="none" w:sz="0" w:space="0" w:color="auto"/>
                                <w:left w:val="none" w:sz="0" w:space="0" w:color="auto"/>
                                <w:bottom w:val="none" w:sz="0" w:space="0" w:color="auto"/>
                                <w:right w:val="none" w:sz="0" w:space="0" w:color="auto"/>
                              </w:divBdr>
                              <w:divsChild>
                                <w:div w:id="1413894477">
                                  <w:marLeft w:val="0"/>
                                  <w:marRight w:val="0"/>
                                  <w:marTop w:val="0"/>
                                  <w:marBottom w:val="0"/>
                                  <w:divBdr>
                                    <w:top w:val="none" w:sz="0" w:space="0" w:color="auto"/>
                                    <w:left w:val="none" w:sz="0" w:space="0" w:color="auto"/>
                                    <w:bottom w:val="none" w:sz="0" w:space="0" w:color="auto"/>
                                    <w:right w:val="none" w:sz="0" w:space="0" w:color="auto"/>
                                  </w:divBdr>
                                  <w:divsChild>
                                    <w:div w:id="670523067">
                                      <w:marLeft w:val="-225"/>
                                      <w:marRight w:val="-225"/>
                                      <w:marTop w:val="0"/>
                                      <w:marBottom w:val="0"/>
                                      <w:divBdr>
                                        <w:top w:val="none" w:sz="0" w:space="0" w:color="auto"/>
                                        <w:left w:val="none" w:sz="0" w:space="0" w:color="auto"/>
                                        <w:bottom w:val="none" w:sz="0" w:space="0" w:color="auto"/>
                                        <w:right w:val="none" w:sz="0" w:space="0" w:color="auto"/>
                                      </w:divBdr>
                                      <w:divsChild>
                                        <w:div w:id="1132331890">
                                          <w:marLeft w:val="0"/>
                                          <w:marRight w:val="0"/>
                                          <w:marTop w:val="0"/>
                                          <w:marBottom w:val="0"/>
                                          <w:divBdr>
                                            <w:top w:val="none" w:sz="0" w:space="0" w:color="auto"/>
                                            <w:left w:val="none" w:sz="0" w:space="0" w:color="auto"/>
                                            <w:bottom w:val="none" w:sz="0" w:space="0" w:color="auto"/>
                                            <w:right w:val="none" w:sz="0" w:space="0" w:color="auto"/>
                                          </w:divBdr>
                                          <w:divsChild>
                                            <w:div w:id="206027870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1034440">
      <w:bodyDiv w:val="1"/>
      <w:marLeft w:val="0"/>
      <w:marRight w:val="0"/>
      <w:marTop w:val="0"/>
      <w:marBottom w:val="0"/>
      <w:divBdr>
        <w:top w:val="none" w:sz="0" w:space="0" w:color="auto"/>
        <w:left w:val="none" w:sz="0" w:space="0" w:color="auto"/>
        <w:bottom w:val="none" w:sz="0" w:space="0" w:color="auto"/>
        <w:right w:val="none" w:sz="0" w:space="0" w:color="auto"/>
      </w:divBdr>
      <w:divsChild>
        <w:div w:id="1949703960">
          <w:marLeft w:val="0"/>
          <w:marRight w:val="0"/>
          <w:marTop w:val="0"/>
          <w:marBottom w:val="0"/>
          <w:divBdr>
            <w:top w:val="none" w:sz="0" w:space="0" w:color="auto"/>
            <w:left w:val="none" w:sz="0" w:space="0" w:color="auto"/>
            <w:bottom w:val="none" w:sz="0" w:space="0" w:color="auto"/>
            <w:right w:val="none" w:sz="0" w:space="0" w:color="auto"/>
          </w:divBdr>
          <w:divsChild>
            <w:div w:id="415982115">
              <w:marLeft w:val="0"/>
              <w:marRight w:val="0"/>
              <w:marTop w:val="0"/>
              <w:marBottom w:val="0"/>
              <w:divBdr>
                <w:top w:val="none" w:sz="0" w:space="0" w:color="auto"/>
                <w:left w:val="none" w:sz="0" w:space="0" w:color="auto"/>
                <w:bottom w:val="none" w:sz="0" w:space="0" w:color="auto"/>
                <w:right w:val="none" w:sz="0" w:space="0" w:color="auto"/>
              </w:divBdr>
              <w:divsChild>
                <w:div w:id="1515656170">
                  <w:marLeft w:val="-225"/>
                  <w:marRight w:val="-225"/>
                  <w:marTop w:val="0"/>
                  <w:marBottom w:val="0"/>
                  <w:divBdr>
                    <w:top w:val="none" w:sz="0" w:space="0" w:color="auto"/>
                    <w:left w:val="none" w:sz="0" w:space="0" w:color="auto"/>
                    <w:bottom w:val="none" w:sz="0" w:space="0" w:color="auto"/>
                    <w:right w:val="none" w:sz="0" w:space="0" w:color="auto"/>
                  </w:divBdr>
                  <w:divsChild>
                    <w:div w:id="125852360">
                      <w:marLeft w:val="0"/>
                      <w:marRight w:val="0"/>
                      <w:marTop w:val="0"/>
                      <w:marBottom w:val="0"/>
                      <w:divBdr>
                        <w:top w:val="none" w:sz="0" w:space="0" w:color="auto"/>
                        <w:left w:val="none" w:sz="0" w:space="0" w:color="auto"/>
                        <w:bottom w:val="none" w:sz="0" w:space="0" w:color="auto"/>
                        <w:right w:val="none" w:sz="0" w:space="0" w:color="auto"/>
                      </w:divBdr>
                      <w:divsChild>
                        <w:div w:id="1836070329">
                          <w:marLeft w:val="-225"/>
                          <w:marRight w:val="-225"/>
                          <w:marTop w:val="0"/>
                          <w:marBottom w:val="0"/>
                          <w:divBdr>
                            <w:top w:val="none" w:sz="0" w:space="0" w:color="auto"/>
                            <w:left w:val="none" w:sz="0" w:space="0" w:color="auto"/>
                            <w:bottom w:val="none" w:sz="0" w:space="0" w:color="auto"/>
                            <w:right w:val="none" w:sz="0" w:space="0" w:color="auto"/>
                          </w:divBdr>
                          <w:divsChild>
                            <w:div w:id="1155412014">
                              <w:marLeft w:val="0"/>
                              <w:marRight w:val="0"/>
                              <w:marTop w:val="0"/>
                              <w:marBottom w:val="0"/>
                              <w:divBdr>
                                <w:top w:val="none" w:sz="0" w:space="0" w:color="auto"/>
                                <w:left w:val="none" w:sz="0" w:space="0" w:color="auto"/>
                                <w:bottom w:val="none" w:sz="0" w:space="0" w:color="auto"/>
                                <w:right w:val="none" w:sz="0" w:space="0" w:color="auto"/>
                              </w:divBdr>
                              <w:divsChild>
                                <w:div w:id="1584951656">
                                  <w:marLeft w:val="0"/>
                                  <w:marRight w:val="0"/>
                                  <w:marTop w:val="0"/>
                                  <w:marBottom w:val="0"/>
                                  <w:divBdr>
                                    <w:top w:val="none" w:sz="0" w:space="0" w:color="auto"/>
                                    <w:left w:val="none" w:sz="0" w:space="0" w:color="auto"/>
                                    <w:bottom w:val="none" w:sz="0" w:space="0" w:color="auto"/>
                                    <w:right w:val="none" w:sz="0" w:space="0" w:color="auto"/>
                                  </w:divBdr>
                                  <w:divsChild>
                                    <w:div w:id="131990254">
                                      <w:marLeft w:val="-225"/>
                                      <w:marRight w:val="-225"/>
                                      <w:marTop w:val="0"/>
                                      <w:marBottom w:val="0"/>
                                      <w:divBdr>
                                        <w:top w:val="none" w:sz="0" w:space="0" w:color="auto"/>
                                        <w:left w:val="none" w:sz="0" w:space="0" w:color="auto"/>
                                        <w:bottom w:val="none" w:sz="0" w:space="0" w:color="auto"/>
                                        <w:right w:val="none" w:sz="0" w:space="0" w:color="auto"/>
                                      </w:divBdr>
                                      <w:divsChild>
                                        <w:div w:id="1328828145">
                                          <w:marLeft w:val="0"/>
                                          <w:marRight w:val="0"/>
                                          <w:marTop w:val="0"/>
                                          <w:marBottom w:val="0"/>
                                          <w:divBdr>
                                            <w:top w:val="none" w:sz="0" w:space="0" w:color="auto"/>
                                            <w:left w:val="none" w:sz="0" w:space="0" w:color="auto"/>
                                            <w:bottom w:val="none" w:sz="0" w:space="0" w:color="auto"/>
                                            <w:right w:val="none" w:sz="0" w:space="0" w:color="auto"/>
                                          </w:divBdr>
                                          <w:divsChild>
                                            <w:div w:id="206374882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19193</Words>
  <Characters>109404</Characters>
  <Application>Microsoft Office Word</Application>
  <DocSecurity>0</DocSecurity>
  <Lines>911</Lines>
  <Paragraphs>256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dcterms:created xsi:type="dcterms:W3CDTF">2018-06-12T08:58:00Z</dcterms:created>
  <dcterms:modified xsi:type="dcterms:W3CDTF">2018-06-12T08:58:00Z</dcterms:modified>
</cp:coreProperties>
</file>