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E15" w:rsidRPr="00FE2E15" w:rsidRDefault="00FE2E15" w:rsidP="00FE2E15">
      <w:pPr>
        <w:spacing w:after="265"/>
        <w:jc w:val="center"/>
        <w:rPr>
          <w:rFonts w:asciiTheme="minorHAnsi" w:eastAsia="Times New Roman" w:hAnsiTheme="minorHAnsi" w:cstheme="minorHAnsi"/>
          <w:b/>
          <w:color w:val="3D3B39"/>
          <w:sz w:val="32"/>
          <w:szCs w:val="32"/>
          <w:lang w:eastAsia="it-IT"/>
        </w:rPr>
      </w:pPr>
      <w:r w:rsidRPr="00FE2E15">
        <w:rPr>
          <w:rFonts w:asciiTheme="minorHAnsi" w:eastAsia="Times New Roman" w:hAnsiTheme="minorHAnsi" w:cstheme="minorHAnsi"/>
          <w:b/>
          <w:color w:val="3D3B39"/>
          <w:sz w:val="32"/>
          <w:szCs w:val="32"/>
          <w:lang w:eastAsia="it-IT"/>
        </w:rPr>
        <w:t>SENTENZE OGGI PA</w:t>
      </w:r>
    </w:p>
    <w:p w:rsidR="00FE2E15" w:rsidRDefault="00FE2E15" w:rsidP="008B3F4B">
      <w:pPr>
        <w:spacing w:after="265"/>
        <w:rPr>
          <w:rFonts w:asciiTheme="minorHAnsi" w:eastAsia="Times New Roman" w:hAnsiTheme="minorHAnsi" w:cstheme="minorHAnsi"/>
          <w:color w:val="3D3B39"/>
          <w:lang w:eastAsia="it-IT"/>
        </w:rPr>
      </w:pPr>
    </w:p>
    <w:p w:rsidR="00FE2E15" w:rsidRDefault="00FE2E15" w:rsidP="008B3F4B">
      <w:pPr>
        <w:spacing w:after="265"/>
        <w:rPr>
          <w:rFonts w:asciiTheme="minorHAnsi" w:eastAsia="Times New Roman" w:hAnsiTheme="minorHAnsi" w:cstheme="minorHAnsi"/>
          <w:color w:val="3D3B39"/>
          <w:lang w:eastAsia="it-IT"/>
        </w:rPr>
      </w:pPr>
    </w:p>
    <w:p w:rsidR="00FE2E15" w:rsidRDefault="00FE2E15" w:rsidP="008B3F4B">
      <w:pPr>
        <w:spacing w:after="265"/>
        <w:rPr>
          <w:rFonts w:asciiTheme="minorHAnsi" w:eastAsia="Times New Roman" w:hAnsiTheme="minorHAnsi" w:cstheme="minorHAnsi"/>
          <w:color w:val="3D3B39"/>
          <w:lang w:eastAsia="it-IT"/>
        </w:rPr>
      </w:pPr>
    </w:p>
    <w:p w:rsidR="00FE2E15" w:rsidRDefault="00FE2E15" w:rsidP="008B3F4B">
      <w:pPr>
        <w:spacing w:after="265"/>
        <w:rPr>
          <w:rFonts w:asciiTheme="minorHAnsi" w:eastAsia="Times New Roman" w:hAnsiTheme="minorHAnsi" w:cstheme="minorHAnsi"/>
          <w:color w:val="3D3B39"/>
          <w:lang w:eastAsia="it-IT"/>
        </w:rPr>
      </w:pPr>
    </w:p>
    <w:p w:rsidR="008B3F4B" w:rsidRPr="008B3F4B" w:rsidRDefault="008B3F4B" w:rsidP="008B3F4B">
      <w:pPr>
        <w:spacing w:after="265"/>
        <w:rPr>
          <w:rFonts w:asciiTheme="minorHAnsi" w:eastAsia="Times New Roman" w:hAnsiTheme="minorHAnsi" w:cstheme="minorHAnsi"/>
          <w:color w:val="3D3B39"/>
          <w:lang w:eastAsia="it-IT"/>
        </w:rPr>
      </w:pPr>
      <w:r w:rsidRPr="008B3F4B">
        <w:rPr>
          <w:rFonts w:asciiTheme="minorHAnsi" w:eastAsia="Times New Roman" w:hAnsiTheme="minorHAnsi" w:cstheme="minorHAnsi"/>
          <w:color w:val="3D3B39"/>
          <w:lang w:eastAsia="it-IT"/>
        </w:rPr>
        <w:t xml:space="preserve">Pubblicato il 27/05/2019 </w:t>
      </w:r>
      <w:r w:rsidRPr="008B3F4B">
        <w:rPr>
          <w:rFonts w:asciiTheme="minorHAnsi" w:eastAsia="Times New Roman" w:hAnsiTheme="minorHAnsi" w:cstheme="minorHAnsi"/>
          <w:color w:val="3D3B39"/>
          <w:lang w:eastAsia="it-IT"/>
        </w:rPr>
        <w:br/>
      </w:r>
      <w:r w:rsidRPr="008B3F4B">
        <w:rPr>
          <w:rFonts w:asciiTheme="minorHAnsi" w:eastAsia="Times New Roman" w:hAnsiTheme="minorHAnsi" w:cstheme="minorHAnsi"/>
          <w:b/>
          <w:bCs/>
          <w:color w:val="3D3B39"/>
          <w:lang w:eastAsia="it-IT"/>
        </w:rPr>
        <w:t>N. 01195/2019 REG.PROV.COLL.</w:t>
      </w:r>
      <w:r w:rsidRPr="008B3F4B">
        <w:rPr>
          <w:rFonts w:asciiTheme="minorHAnsi" w:eastAsia="Times New Roman" w:hAnsiTheme="minorHAnsi" w:cstheme="minorHAnsi"/>
          <w:color w:val="3D3B39"/>
          <w:lang w:eastAsia="it-IT"/>
        </w:rPr>
        <w:t xml:space="preserve"> </w:t>
      </w:r>
      <w:r w:rsidRPr="008B3F4B">
        <w:rPr>
          <w:rFonts w:asciiTheme="minorHAnsi" w:eastAsia="Times New Roman" w:hAnsiTheme="minorHAnsi" w:cstheme="minorHAnsi"/>
          <w:color w:val="3D3B39"/>
          <w:lang w:eastAsia="it-IT"/>
        </w:rPr>
        <w:br/>
      </w:r>
      <w:r w:rsidRPr="008B3F4B">
        <w:rPr>
          <w:rFonts w:asciiTheme="minorHAnsi" w:eastAsia="Times New Roman" w:hAnsiTheme="minorHAnsi" w:cstheme="minorHAnsi"/>
          <w:b/>
          <w:bCs/>
          <w:color w:val="3D3B39"/>
          <w:lang w:eastAsia="it-IT"/>
        </w:rPr>
        <w:t>N. 02964/2017 REG.RIC.</w:t>
      </w:r>
    </w:p>
    <w:p w:rsidR="008B3F4B" w:rsidRPr="008B3F4B" w:rsidRDefault="008B3F4B" w:rsidP="008B3F4B">
      <w:pPr>
        <w:spacing w:after="265"/>
        <w:jc w:val="center"/>
        <w:rPr>
          <w:rFonts w:asciiTheme="minorHAnsi" w:eastAsia="Times New Roman" w:hAnsiTheme="minorHAnsi" w:cstheme="minorHAnsi"/>
          <w:color w:val="3D3B39"/>
          <w:lang w:eastAsia="it-IT"/>
        </w:rPr>
      </w:pPr>
      <w:r w:rsidRPr="008B3F4B">
        <w:rPr>
          <w:rFonts w:asciiTheme="minorHAnsi" w:eastAsia="Times New Roman" w:hAnsiTheme="minorHAnsi" w:cstheme="minorHAnsi"/>
          <w:b/>
          <w:bCs/>
          <w:color w:val="3D3B39"/>
          <w:lang w:eastAsia="it-IT"/>
        </w:rPr>
        <w:t>REPUBBLICA ITALIANA</w:t>
      </w:r>
      <w:r w:rsidRPr="008B3F4B">
        <w:rPr>
          <w:rFonts w:asciiTheme="minorHAnsi" w:eastAsia="Times New Roman" w:hAnsiTheme="minorHAnsi" w:cstheme="minorHAnsi"/>
          <w:color w:val="3D3B39"/>
          <w:lang w:eastAsia="it-IT"/>
        </w:rPr>
        <w:t xml:space="preserve"> </w:t>
      </w:r>
      <w:r w:rsidRPr="008B3F4B">
        <w:rPr>
          <w:rFonts w:asciiTheme="minorHAnsi" w:eastAsia="Times New Roman" w:hAnsiTheme="minorHAnsi" w:cstheme="minorHAnsi"/>
          <w:color w:val="3D3B39"/>
          <w:lang w:eastAsia="it-IT"/>
        </w:rPr>
        <w:br/>
      </w:r>
      <w:r w:rsidRPr="008B3F4B">
        <w:rPr>
          <w:rFonts w:asciiTheme="minorHAnsi" w:eastAsia="Times New Roman" w:hAnsiTheme="minorHAnsi" w:cstheme="minorHAnsi"/>
          <w:b/>
          <w:bCs/>
          <w:color w:val="3D3B39"/>
          <w:lang w:eastAsia="it-IT"/>
        </w:rPr>
        <w:t>IN NOME DEL POPOLO ITALIANO</w:t>
      </w:r>
      <w:r w:rsidRPr="008B3F4B">
        <w:rPr>
          <w:rFonts w:asciiTheme="minorHAnsi" w:eastAsia="Times New Roman" w:hAnsiTheme="minorHAnsi" w:cstheme="minorHAnsi"/>
          <w:color w:val="3D3B39"/>
          <w:lang w:eastAsia="it-IT"/>
        </w:rPr>
        <w:t xml:space="preserve"> </w:t>
      </w:r>
      <w:r w:rsidRPr="008B3F4B">
        <w:rPr>
          <w:rFonts w:asciiTheme="minorHAnsi" w:eastAsia="Times New Roman" w:hAnsiTheme="minorHAnsi" w:cstheme="minorHAnsi"/>
          <w:color w:val="3D3B39"/>
          <w:lang w:eastAsia="it-IT"/>
        </w:rPr>
        <w:br/>
      </w:r>
      <w:r w:rsidRPr="008B3F4B">
        <w:rPr>
          <w:rFonts w:asciiTheme="minorHAnsi" w:eastAsia="Times New Roman" w:hAnsiTheme="minorHAnsi" w:cstheme="minorHAnsi"/>
          <w:b/>
          <w:bCs/>
          <w:color w:val="3D3B39"/>
          <w:lang w:eastAsia="it-IT"/>
        </w:rPr>
        <w:t>Il Tribunale Amministrativo Regionale per la Lombardia</w:t>
      </w:r>
      <w:r w:rsidRPr="008B3F4B">
        <w:rPr>
          <w:rFonts w:asciiTheme="minorHAnsi" w:eastAsia="Times New Roman" w:hAnsiTheme="minorHAnsi" w:cstheme="minorHAnsi"/>
          <w:color w:val="3D3B39"/>
          <w:lang w:eastAsia="it-IT"/>
        </w:rPr>
        <w:t xml:space="preserve"> </w:t>
      </w:r>
      <w:r w:rsidRPr="008B3F4B">
        <w:rPr>
          <w:rFonts w:asciiTheme="minorHAnsi" w:eastAsia="Times New Roman" w:hAnsiTheme="minorHAnsi" w:cstheme="minorHAnsi"/>
          <w:color w:val="3D3B39"/>
          <w:lang w:eastAsia="it-IT"/>
        </w:rPr>
        <w:br/>
      </w:r>
      <w:r w:rsidRPr="008B3F4B">
        <w:rPr>
          <w:rFonts w:asciiTheme="minorHAnsi" w:eastAsia="Times New Roman" w:hAnsiTheme="minorHAnsi" w:cstheme="minorHAnsi"/>
          <w:b/>
          <w:bCs/>
          <w:color w:val="3D3B39"/>
          <w:lang w:eastAsia="it-IT"/>
        </w:rPr>
        <w:t>(Sezione Quarta)</w:t>
      </w:r>
      <w:r w:rsidRPr="008B3F4B">
        <w:rPr>
          <w:rFonts w:asciiTheme="minorHAnsi" w:eastAsia="Times New Roman" w:hAnsiTheme="minorHAnsi" w:cstheme="minorHAnsi"/>
          <w:color w:val="3D3B39"/>
          <w:lang w:eastAsia="it-IT"/>
        </w:rPr>
        <w:t xml:space="preserve"> </w:t>
      </w:r>
      <w:r w:rsidRPr="008B3F4B">
        <w:rPr>
          <w:rFonts w:asciiTheme="minorHAnsi" w:eastAsia="Times New Roman" w:hAnsiTheme="minorHAnsi" w:cstheme="minorHAnsi"/>
          <w:color w:val="3D3B39"/>
          <w:lang w:eastAsia="it-IT"/>
        </w:rPr>
        <w:br/>
        <w:t xml:space="preserve">ha pronunciato la presente </w:t>
      </w:r>
      <w:r w:rsidRPr="008B3F4B">
        <w:rPr>
          <w:rFonts w:asciiTheme="minorHAnsi" w:eastAsia="Times New Roman" w:hAnsiTheme="minorHAnsi" w:cstheme="minorHAnsi"/>
          <w:color w:val="3D3B39"/>
          <w:lang w:eastAsia="it-IT"/>
        </w:rPr>
        <w:br/>
      </w:r>
      <w:r w:rsidRPr="008B3F4B">
        <w:rPr>
          <w:rFonts w:asciiTheme="minorHAnsi" w:eastAsia="Times New Roman" w:hAnsiTheme="minorHAnsi" w:cstheme="minorHAnsi"/>
          <w:b/>
          <w:bCs/>
          <w:color w:val="3D3B39"/>
          <w:lang w:eastAsia="it-IT"/>
        </w:rPr>
        <w:t>SENTENZA</w:t>
      </w:r>
    </w:p>
    <w:p w:rsidR="008B3F4B" w:rsidRPr="008B3F4B" w:rsidRDefault="008B3F4B" w:rsidP="008B3F4B">
      <w:pPr>
        <w:spacing w:after="265"/>
        <w:rPr>
          <w:rFonts w:asciiTheme="minorHAnsi" w:eastAsia="Times New Roman" w:hAnsiTheme="minorHAnsi" w:cstheme="minorHAnsi"/>
          <w:color w:val="3D3B39"/>
          <w:lang w:eastAsia="it-IT"/>
        </w:rPr>
      </w:pPr>
      <w:r w:rsidRPr="008B3F4B">
        <w:rPr>
          <w:rFonts w:asciiTheme="minorHAnsi" w:eastAsia="Times New Roman" w:hAnsiTheme="minorHAnsi" w:cstheme="minorHAnsi"/>
          <w:color w:val="3D3B39"/>
          <w:lang w:eastAsia="it-IT"/>
        </w:rPr>
        <w:t>sul ricorso numero di registro generale 2964 del 2017, proposto da </w:t>
      </w:r>
      <w:r w:rsidRPr="008B3F4B">
        <w:rPr>
          <w:rFonts w:asciiTheme="minorHAnsi" w:eastAsia="Times New Roman" w:hAnsiTheme="minorHAnsi" w:cstheme="minorHAnsi"/>
          <w:color w:val="3D3B39"/>
          <w:lang w:eastAsia="it-IT"/>
        </w:rPr>
        <w:br/>
        <w:t xml:space="preserve">OMISSIS S.r.l., in persona del legale rappresentante pro tempore, rappresentata e difesa dall’avv. OMISSIS;  </w:t>
      </w:r>
      <w:r w:rsidRPr="008B3F4B">
        <w:rPr>
          <w:rFonts w:asciiTheme="minorHAnsi" w:eastAsia="Times New Roman" w:hAnsiTheme="minorHAnsi" w:cstheme="minorHAnsi"/>
          <w:color w:val="3D3B39"/>
          <w:lang w:eastAsia="it-IT"/>
        </w:rPr>
        <w:br/>
      </w:r>
      <w:r w:rsidRPr="008B3F4B">
        <w:rPr>
          <w:rFonts w:asciiTheme="minorHAnsi" w:eastAsia="Times New Roman" w:hAnsiTheme="minorHAnsi" w:cstheme="minorHAnsi"/>
          <w:b/>
          <w:bCs/>
          <w:i/>
          <w:iCs/>
          <w:color w:val="3D3B39"/>
          <w:lang w:eastAsia="it-IT"/>
        </w:rPr>
        <w:t>contro</w:t>
      </w:r>
      <w:r w:rsidRPr="008B3F4B">
        <w:rPr>
          <w:rFonts w:asciiTheme="minorHAnsi" w:eastAsia="Times New Roman" w:hAnsiTheme="minorHAnsi" w:cstheme="minorHAnsi"/>
          <w:color w:val="3D3B39"/>
          <w:lang w:eastAsia="it-IT"/>
        </w:rPr>
        <w:t xml:space="preserve"> </w:t>
      </w:r>
      <w:r w:rsidRPr="008B3F4B">
        <w:rPr>
          <w:rFonts w:asciiTheme="minorHAnsi" w:eastAsia="Times New Roman" w:hAnsiTheme="minorHAnsi" w:cstheme="minorHAnsi"/>
          <w:color w:val="3D3B39"/>
          <w:lang w:eastAsia="it-IT"/>
        </w:rPr>
        <w:br/>
        <w:t xml:space="preserve">OMISSIS, in persona del legale rappresentante pro tempore, rappresentata e difesa dall’avv. OMISSIS;  </w:t>
      </w:r>
      <w:r w:rsidRPr="008B3F4B">
        <w:rPr>
          <w:rFonts w:asciiTheme="minorHAnsi" w:eastAsia="Times New Roman" w:hAnsiTheme="minorHAnsi" w:cstheme="minorHAnsi"/>
          <w:color w:val="3D3B39"/>
          <w:lang w:eastAsia="it-IT"/>
        </w:rPr>
        <w:br/>
      </w:r>
      <w:r w:rsidRPr="008B3F4B">
        <w:rPr>
          <w:rFonts w:asciiTheme="minorHAnsi" w:eastAsia="Times New Roman" w:hAnsiTheme="minorHAnsi" w:cstheme="minorHAnsi"/>
          <w:b/>
          <w:bCs/>
          <w:i/>
          <w:iCs/>
          <w:color w:val="3D3B39"/>
          <w:lang w:eastAsia="it-IT"/>
        </w:rPr>
        <w:t>nei confronti</w:t>
      </w:r>
      <w:r w:rsidRPr="008B3F4B">
        <w:rPr>
          <w:rFonts w:asciiTheme="minorHAnsi" w:eastAsia="Times New Roman" w:hAnsiTheme="minorHAnsi" w:cstheme="minorHAnsi"/>
          <w:color w:val="3D3B39"/>
          <w:lang w:eastAsia="it-IT"/>
        </w:rPr>
        <w:t xml:space="preserve"> </w:t>
      </w:r>
      <w:r w:rsidRPr="008B3F4B">
        <w:rPr>
          <w:rFonts w:asciiTheme="minorHAnsi" w:eastAsia="Times New Roman" w:hAnsiTheme="minorHAnsi" w:cstheme="minorHAnsi"/>
          <w:color w:val="3D3B39"/>
          <w:lang w:eastAsia="it-IT"/>
        </w:rPr>
        <w:br/>
        <w:t>OMISSIS, non costituita in giudizio;</w:t>
      </w:r>
      <w:r w:rsidRPr="008B3F4B">
        <w:rPr>
          <w:rFonts w:asciiTheme="minorHAnsi" w:eastAsia="Times New Roman" w:hAnsiTheme="minorHAnsi" w:cstheme="minorHAnsi"/>
          <w:color w:val="3D3B39"/>
          <w:lang w:eastAsia="it-IT"/>
        </w:rPr>
        <w:br/>
        <w:t>OMISSIS, non costituita in giudizio;</w:t>
      </w:r>
      <w:r w:rsidRPr="008B3F4B">
        <w:rPr>
          <w:rFonts w:asciiTheme="minorHAnsi" w:eastAsia="Times New Roman" w:hAnsiTheme="minorHAnsi" w:cstheme="minorHAnsi"/>
          <w:color w:val="3D3B39"/>
          <w:lang w:eastAsia="it-IT"/>
        </w:rPr>
        <w:br/>
        <w:t>Azienda Socio Sanitaria Territoriale - OMISSIS, non costituita in giudizio;</w:t>
      </w:r>
      <w:r w:rsidRPr="008B3F4B">
        <w:rPr>
          <w:rFonts w:asciiTheme="minorHAnsi" w:eastAsia="Times New Roman" w:hAnsiTheme="minorHAnsi" w:cstheme="minorHAnsi"/>
          <w:color w:val="3D3B39"/>
          <w:lang w:eastAsia="it-IT"/>
        </w:rPr>
        <w:br/>
        <w:t>Azienda Socio Sanitaria Territoriale - OMISSIS, non costituita in giudizio;</w:t>
      </w:r>
      <w:r w:rsidRPr="008B3F4B">
        <w:rPr>
          <w:rFonts w:asciiTheme="minorHAnsi" w:eastAsia="Times New Roman" w:hAnsiTheme="minorHAnsi" w:cstheme="minorHAnsi"/>
          <w:color w:val="3D3B39"/>
          <w:lang w:eastAsia="it-IT"/>
        </w:rPr>
        <w:br/>
        <w:t>Azienda Socio Sanitaria Territoriale - OMISSIS, non costituita in giudizio;</w:t>
      </w:r>
      <w:r w:rsidRPr="008B3F4B">
        <w:rPr>
          <w:rFonts w:asciiTheme="minorHAnsi" w:eastAsia="Times New Roman" w:hAnsiTheme="minorHAnsi" w:cstheme="minorHAnsi"/>
          <w:color w:val="3D3B39"/>
          <w:lang w:eastAsia="it-IT"/>
        </w:rPr>
        <w:br/>
        <w:t>Azienda Socio Sanitaria Territoriale - OMISSIS, non costituita in giudizio;</w:t>
      </w:r>
      <w:r w:rsidRPr="008B3F4B">
        <w:rPr>
          <w:rFonts w:asciiTheme="minorHAnsi" w:eastAsia="Times New Roman" w:hAnsiTheme="minorHAnsi" w:cstheme="minorHAnsi"/>
          <w:color w:val="3D3B39"/>
          <w:lang w:eastAsia="it-IT"/>
        </w:rPr>
        <w:br/>
        <w:t>Azienda Socio Sanitaria Territoriale - ASST Melegnano e della Martesana, non costituita in giudizio;</w:t>
      </w:r>
      <w:r w:rsidRPr="008B3F4B">
        <w:rPr>
          <w:rFonts w:asciiTheme="minorHAnsi" w:eastAsia="Times New Roman" w:hAnsiTheme="minorHAnsi" w:cstheme="minorHAnsi"/>
          <w:color w:val="3D3B39"/>
          <w:lang w:eastAsia="it-IT"/>
        </w:rPr>
        <w:br/>
        <w:t>Azienda Socio Sanitaria Territoriale - OMISSIS, non costituita in giudizio;</w:t>
      </w:r>
      <w:r w:rsidRPr="008B3F4B">
        <w:rPr>
          <w:rFonts w:asciiTheme="minorHAnsi" w:eastAsia="Times New Roman" w:hAnsiTheme="minorHAnsi" w:cstheme="minorHAnsi"/>
          <w:color w:val="3D3B39"/>
          <w:lang w:eastAsia="it-IT"/>
        </w:rPr>
        <w:br/>
        <w:t>Fondazione OMISSIS, non costituita in giudizio;</w:t>
      </w:r>
      <w:r w:rsidRPr="008B3F4B">
        <w:rPr>
          <w:rFonts w:asciiTheme="minorHAnsi" w:eastAsia="Times New Roman" w:hAnsiTheme="minorHAnsi" w:cstheme="minorHAnsi"/>
          <w:color w:val="3D3B39"/>
          <w:lang w:eastAsia="it-IT"/>
        </w:rPr>
        <w:br/>
        <w:t>OMISSIS, non costituita in giudizio;</w:t>
      </w:r>
      <w:r w:rsidRPr="008B3F4B">
        <w:rPr>
          <w:rFonts w:asciiTheme="minorHAnsi" w:eastAsia="Times New Roman" w:hAnsiTheme="minorHAnsi" w:cstheme="minorHAnsi"/>
          <w:color w:val="3D3B39"/>
          <w:lang w:eastAsia="it-IT"/>
        </w:rPr>
        <w:br/>
        <w:t>OMISSIS, non costituita in giudizio;</w:t>
      </w:r>
      <w:r w:rsidRPr="008B3F4B">
        <w:rPr>
          <w:rFonts w:asciiTheme="minorHAnsi" w:eastAsia="Times New Roman" w:hAnsiTheme="minorHAnsi" w:cstheme="minorHAnsi"/>
          <w:color w:val="3D3B39"/>
          <w:lang w:eastAsia="it-IT"/>
        </w:rPr>
        <w:br/>
        <w:t xml:space="preserve">OMISSIS, non costituita in giudizio;  </w:t>
      </w:r>
      <w:r w:rsidRPr="008B3F4B">
        <w:rPr>
          <w:rFonts w:asciiTheme="minorHAnsi" w:eastAsia="Times New Roman" w:hAnsiTheme="minorHAnsi" w:cstheme="minorHAnsi"/>
          <w:color w:val="3D3B39"/>
          <w:lang w:eastAsia="it-IT"/>
        </w:rPr>
        <w:br/>
      </w:r>
      <w:r w:rsidRPr="008B3F4B">
        <w:rPr>
          <w:rFonts w:asciiTheme="minorHAnsi" w:eastAsia="Times New Roman" w:hAnsiTheme="minorHAnsi" w:cstheme="minorHAnsi"/>
          <w:b/>
          <w:bCs/>
          <w:i/>
          <w:iCs/>
          <w:color w:val="3D3B39"/>
          <w:lang w:eastAsia="it-IT"/>
        </w:rPr>
        <w:t>per l’annullamento, previa sospensione cautelare:</w:t>
      </w:r>
      <w:r w:rsidRPr="008B3F4B">
        <w:rPr>
          <w:rFonts w:asciiTheme="minorHAnsi" w:eastAsia="Times New Roman" w:hAnsiTheme="minorHAnsi" w:cstheme="minorHAnsi"/>
          <w:color w:val="3D3B39"/>
          <w:lang w:eastAsia="it-IT"/>
        </w:rPr>
        <w:t xml:space="preserve"> </w:t>
      </w:r>
      <w:r w:rsidRPr="008B3F4B">
        <w:rPr>
          <w:rFonts w:asciiTheme="minorHAnsi" w:eastAsia="Times New Roman" w:hAnsiTheme="minorHAnsi" w:cstheme="minorHAnsi"/>
          <w:color w:val="3D3B39"/>
          <w:lang w:eastAsia="it-IT"/>
        </w:rPr>
        <w:br/>
        <w:t xml:space="preserve">degli atti e dei provvedimenti relativi alla procedura aperta indetta dall’ASST Rhodense per la sottoscrizione di contratti di accordo quadro con pluralità di operatori ai sensi dell’articolo 54, comma 4, </w:t>
      </w:r>
      <w:proofErr w:type="spellStart"/>
      <w:r w:rsidRPr="008B3F4B">
        <w:rPr>
          <w:rFonts w:asciiTheme="minorHAnsi" w:eastAsia="Times New Roman" w:hAnsiTheme="minorHAnsi" w:cstheme="minorHAnsi"/>
          <w:color w:val="3D3B39"/>
          <w:lang w:eastAsia="it-IT"/>
        </w:rPr>
        <w:t>lett</w:t>
      </w:r>
      <w:proofErr w:type="spellEnd"/>
      <w:r w:rsidRPr="008B3F4B">
        <w:rPr>
          <w:rFonts w:asciiTheme="minorHAnsi" w:eastAsia="Times New Roman" w:hAnsiTheme="minorHAnsi" w:cstheme="minorHAnsi"/>
          <w:color w:val="3D3B39"/>
          <w:lang w:eastAsia="it-IT"/>
        </w:rPr>
        <w:t xml:space="preserve">. a), </w:t>
      </w:r>
      <w:proofErr w:type="spellStart"/>
      <w:r w:rsidRPr="008B3F4B">
        <w:rPr>
          <w:rFonts w:asciiTheme="minorHAnsi" w:eastAsia="Times New Roman" w:hAnsiTheme="minorHAnsi" w:cstheme="minorHAnsi"/>
          <w:color w:val="3D3B39"/>
          <w:lang w:eastAsia="it-IT"/>
        </w:rPr>
        <w:t>D.Lgs.</w:t>
      </w:r>
      <w:proofErr w:type="spellEnd"/>
      <w:r w:rsidRPr="008B3F4B">
        <w:rPr>
          <w:rFonts w:asciiTheme="minorHAnsi" w:eastAsia="Times New Roman" w:hAnsiTheme="minorHAnsi" w:cstheme="minorHAnsi"/>
          <w:color w:val="3D3B39"/>
          <w:lang w:eastAsia="it-IT"/>
        </w:rPr>
        <w:t xml:space="preserve"> n. 50/2016, della durata di 36 mesi, aventi ad oggetto la fornitura in noleggio di apparecchiature e dispositivi medici e servizi connessi per la ventilazione meccanica domiciliare destinati agli assistiti residenti nel territorio dell’Azienda Sanitaria, articolata in 9 lotti ed, in specie: </w:t>
      </w:r>
      <w:r w:rsidRPr="008B3F4B">
        <w:rPr>
          <w:rFonts w:asciiTheme="minorHAnsi" w:eastAsia="Times New Roman" w:hAnsiTheme="minorHAnsi" w:cstheme="minorHAnsi"/>
          <w:color w:val="3D3B39"/>
          <w:lang w:eastAsia="it-IT"/>
        </w:rPr>
        <w:br/>
        <w:t xml:space="preserve">a) del bando di gara pubblicato in GURI 5^ Serie Speciale – Contratti Pubblici n. 137 il 27.11.2017; </w:t>
      </w:r>
      <w:r w:rsidRPr="008B3F4B">
        <w:rPr>
          <w:rFonts w:asciiTheme="minorHAnsi" w:eastAsia="Times New Roman" w:hAnsiTheme="minorHAnsi" w:cstheme="minorHAnsi"/>
          <w:color w:val="3D3B39"/>
          <w:lang w:eastAsia="it-IT"/>
        </w:rPr>
        <w:br/>
        <w:t xml:space="preserve">b) del disciplinare di gara e del capitolato speciale, con i relativi allegati; </w:t>
      </w:r>
      <w:r w:rsidRPr="008B3F4B">
        <w:rPr>
          <w:rFonts w:asciiTheme="minorHAnsi" w:eastAsia="Times New Roman" w:hAnsiTheme="minorHAnsi" w:cstheme="minorHAnsi"/>
          <w:color w:val="3D3B39"/>
          <w:lang w:eastAsia="it-IT"/>
        </w:rPr>
        <w:br/>
        <w:t xml:space="preserve">c) quale atto presupposto, della deliberazione D.G. n. 746/2017/DG del 16.11.2017 di indizione della gara, con relativi allegati; </w:t>
      </w:r>
      <w:r w:rsidRPr="008B3F4B">
        <w:rPr>
          <w:rFonts w:asciiTheme="minorHAnsi" w:eastAsia="Times New Roman" w:hAnsiTheme="minorHAnsi" w:cstheme="minorHAnsi"/>
          <w:color w:val="3D3B39"/>
          <w:lang w:eastAsia="it-IT"/>
        </w:rPr>
        <w:br/>
        <w:t xml:space="preserve">d) del provvedimento dell’ASST del 18.12.2017 </w:t>
      </w:r>
      <w:proofErr w:type="spellStart"/>
      <w:r w:rsidRPr="008B3F4B">
        <w:rPr>
          <w:rFonts w:asciiTheme="minorHAnsi" w:eastAsia="Times New Roman" w:hAnsiTheme="minorHAnsi" w:cstheme="minorHAnsi"/>
          <w:color w:val="3D3B39"/>
          <w:lang w:eastAsia="it-IT"/>
        </w:rPr>
        <w:t>Prot</w:t>
      </w:r>
      <w:proofErr w:type="spellEnd"/>
      <w:r w:rsidRPr="008B3F4B">
        <w:rPr>
          <w:rFonts w:asciiTheme="minorHAnsi" w:eastAsia="Times New Roman" w:hAnsiTheme="minorHAnsi" w:cstheme="minorHAnsi"/>
          <w:color w:val="3D3B39"/>
          <w:lang w:eastAsia="it-IT"/>
        </w:rPr>
        <w:t>. n. 71849 (</w:t>
      </w:r>
      <w:proofErr w:type="spellStart"/>
      <w:r w:rsidRPr="008B3F4B">
        <w:rPr>
          <w:rFonts w:asciiTheme="minorHAnsi" w:eastAsia="Times New Roman" w:hAnsiTheme="minorHAnsi" w:cstheme="minorHAnsi"/>
          <w:color w:val="3D3B39"/>
          <w:lang w:eastAsia="it-IT"/>
        </w:rPr>
        <w:t>Titolario</w:t>
      </w:r>
      <w:proofErr w:type="spellEnd"/>
      <w:r w:rsidRPr="008B3F4B">
        <w:rPr>
          <w:rFonts w:asciiTheme="minorHAnsi" w:eastAsia="Times New Roman" w:hAnsiTheme="minorHAnsi" w:cstheme="minorHAnsi"/>
          <w:color w:val="3D3B39"/>
          <w:lang w:eastAsia="it-IT"/>
        </w:rPr>
        <w:t xml:space="preserve">: 01.6.03 Fascicolo: 269/2017) avente ad oggetto “Procedura aperta per la sottoscrizione di contratti di Accordo Quadro con pluralità di operatori economici aventi ad oggetto la fornitura in noleggio di apparecchiature e dispositivi medici e servizi connessi per la ventilazione meccanica domiciliare. Comunicazione di riscontro ai rilievi ed istanze </w:t>
      </w:r>
      <w:r w:rsidRPr="008B3F4B">
        <w:rPr>
          <w:rFonts w:asciiTheme="minorHAnsi" w:eastAsia="Times New Roman" w:hAnsiTheme="minorHAnsi" w:cstheme="minorHAnsi"/>
          <w:color w:val="3D3B39"/>
          <w:lang w:eastAsia="it-IT"/>
        </w:rPr>
        <w:lastRenderedPageBreak/>
        <w:t xml:space="preserve">pervenute”; </w:t>
      </w:r>
      <w:r w:rsidRPr="008B3F4B">
        <w:rPr>
          <w:rFonts w:asciiTheme="minorHAnsi" w:eastAsia="Times New Roman" w:hAnsiTheme="minorHAnsi" w:cstheme="minorHAnsi"/>
          <w:color w:val="3D3B39"/>
          <w:lang w:eastAsia="it-IT"/>
        </w:rPr>
        <w:br/>
        <w:t xml:space="preserve">e) di ogni altro atto e/o comportamento preordinato, consequenziale e connesso. </w:t>
      </w:r>
    </w:p>
    <w:p w:rsidR="008B3F4B" w:rsidRPr="008B3F4B" w:rsidRDefault="008B3F4B" w:rsidP="008B3F4B">
      <w:pPr>
        <w:spacing w:after="265"/>
        <w:rPr>
          <w:rFonts w:asciiTheme="minorHAnsi" w:eastAsia="Times New Roman" w:hAnsiTheme="minorHAnsi" w:cstheme="minorHAnsi"/>
          <w:color w:val="3D3B39"/>
          <w:lang w:eastAsia="it-IT"/>
        </w:rPr>
      </w:pPr>
      <w:r w:rsidRPr="008B3F4B">
        <w:rPr>
          <w:rFonts w:asciiTheme="minorHAnsi" w:eastAsia="Times New Roman" w:hAnsiTheme="minorHAnsi" w:cstheme="minorHAnsi"/>
          <w:color w:val="3D3B39"/>
          <w:lang w:eastAsia="it-IT"/>
        </w:rPr>
        <w:t xml:space="preserve">Visti il ricorso e i relativi allegati; </w:t>
      </w:r>
      <w:r w:rsidRPr="008B3F4B">
        <w:rPr>
          <w:rFonts w:asciiTheme="minorHAnsi" w:eastAsia="Times New Roman" w:hAnsiTheme="minorHAnsi" w:cstheme="minorHAnsi"/>
          <w:color w:val="3D3B39"/>
          <w:lang w:eastAsia="it-IT"/>
        </w:rPr>
        <w:br/>
        <w:t xml:space="preserve">Visto l’atto di costituzione in giudizio di Azienda Socio Sanitaria Territoriale ASST Rhodense; </w:t>
      </w:r>
      <w:r w:rsidRPr="008B3F4B">
        <w:rPr>
          <w:rFonts w:asciiTheme="minorHAnsi" w:eastAsia="Times New Roman" w:hAnsiTheme="minorHAnsi" w:cstheme="minorHAnsi"/>
          <w:color w:val="3D3B39"/>
          <w:lang w:eastAsia="it-IT"/>
        </w:rPr>
        <w:br/>
        <w:t xml:space="preserve">Visti tutti gli atti e i documenti della causa; </w:t>
      </w:r>
      <w:r w:rsidRPr="008B3F4B">
        <w:rPr>
          <w:rFonts w:asciiTheme="minorHAnsi" w:eastAsia="Times New Roman" w:hAnsiTheme="minorHAnsi" w:cstheme="minorHAnsi"/>
          <w:color w:val="3D3B39"/>
          <w:lang w:eastAsia="it-IT"/>
        </w:rPr>
        <w:br/>
        <w:t xml:space="preserve">Relatore nell’udienza pubblica del giorno 18 aprile 2019 la dott.ssa Alessandra </w:t>
      </w:r>
      <w:proofErr w:type="spellStart"/>
      <w:r w:rsidRPr="008B3F4B">
        <w:rPr>
          <w:rFonts w:asciiTheme="minorHAnsi" w:eastAsia="Times New Roman" w:hAnsiTheme="minorHAnsi" w:cstheme="minorHAnsi"/>
          <w:color w:val="3D3B39"/>
          <w:lang w:eastAsia="it-IT"/>
        </w:rPr>
        <w:t>Tagliasacchi</w:t>
      </w:r>
      <w:proofErr w:type="spellEnd"/>
      <w:r w:rsidRPr="008B3F4B">
        <w:rPr>
          <w:rFonts w:asciiTheme="minorHAnsi" w:eastAsia="Times New Roman" w:hAnsiTheme="minorHAnsi" w:cstheme="minorHAnsi"/>
          <w:color w:val="3D3B39"/>
          <w:lang w:eastAsia="it-IT"/>
        </w:rPr>
        <w:t xml:space="preserve"> e uditi per le parti i difensori come specificato nel verbale; </w:t>
      </w:r>
      <w:r w:rsidRPr="008B3F4B">
        <w:rPr>
          <w:rFonts w:asciiTheme="minorHAnsi" w:eastAsia="Times New Roman" w:hAnsiTheme="minorHAnsi" w:cstheme="minorHAnsi"/>
          <w:color w:val="3D3B39"/>
          <w:lang w:eastAsia="it-IT"/>
        </w:rPr>
        <w:br/>
        <w:t xml:space="preserve">Ritenuto in fatto e considerato in diritto quanto segue. </w:t>
      </w:r>
    </w:p>
    <w:p w:rsidR="008B3F4B" w:rsidRPr="008B3F4B" w:rsidRDefault="008B3F4B" w:rsidP="008B3F4B">
      <w:pPr>
        <w:spacing w:after="265"/>
        <w:jc w:val="center"/>
        <w:rPr>
          <w:rFonts w:asciiTheme="minorHAnsi" w:eastAsia="Times New Roman" w:hAnsiTheme="minorHAnsi" w:cstheme="minorHAnsi"/>
          <w:color w:val="3D3B39"/>
          <w:lang w:eastAsia="it-IT"/>
        </w:rPr>
      </w:pPr>
      <w:r w:rsidRPr="008B3F4B">
        <w:rPr>
          <w:rFonts w:asciiTheme="minorHAnsi" w:eastAsia="Times New Roman" w:hAnsiTheme="minorHAnsi" w:cstheme="minorHAnsi"/>
          <w:b/>
          <w:bCs/>
          <w:color w:val="3D3B39"/>
          <w:lang w:eastAsia="it-IT"/>
        </w:rPr>
        <w:t>FATTO</w:t>
      </w:r>
    </w:p>
    <w:p w:rsidR="008B3F4B" w:rsidRPr="008B3F4B" w:rsidRDefault="008B3F4B" w:rsidP="008B3F4B">
      <w:pPr>
        <w:spacing w:after="265"/>
        <w:rPr>
          <w:rFonts w:asciiTheme="minorHAnsi" w:eastAsia="Times New Roman" w:hAnsiTheme="minorHAnsi" w:cstheme="minorHAnsi"/>
          <w:color w:val="3D3B39"/>
          <w:lang w:eastAsia="it-IT"/>
        </w:rPr>
      </w:pPr>
      <w:r w:rsidRPr="008B3F4B">
        <w:rPr>
          <w:rFonts w:asciiTheme="minorHAnsi" w:eastAsia="Times New Roman" w:hAnsiTheme="minorHAnsi" w:cstheme="minorHAnsi"/>
          <w:color w:val="3D3B39"/>
          <w:lang w:eastAsia="it-IT"/>
        </w:rPr>
        <w:t xml:space="preserve">1. La OMISSIS ha bandito la procedura di gara per la stipula di accordi quadro con pluralità di operatori, ai sensi dell’articolo 54, comma 4, lettera a), </w:t>
      </w:r>
      <w:proofErr w:type="spellStart"/>
      <w:r w:rsidRPr="008B3F4B">
        <w:rPr>
          <w:rFonts w:asciiTheme="minorHAnsi" w:eastAsia="Times New Roman" w:hAnsiTheme="minorHAnsi" w:cstheme="minorHAnsi"/>
          <w:color w:val="3D3B39"/>
          <w:lang w:eastAsia="it-IT"/>
        </w:rPr>
        <w:t>D.Lgs.</w:t>
      </w:r>
      <w:proofErr w:type="spellEnd"/>
      <w:r w:rsidRPr="008B3F4B">
        <w:rPr>
          <w:rFonts w:asciiTheme="minorHAnsi" w:eastAsia="Times New Roman" w:hAnsiTheme="minorHAnsi" w:cstheme="minorHAnsi"/>
          <w:color w:val="3D3B39"/>
          <w:lang w:eastAsia="it-IT"/>
        </w:rPr>
        <w:t xml:space="preserve"> n. 50/2016, della durata di 36 mesi, aventi ad oggetto l’appalto, articolato in nove lotti, di fornitura in noleggio di apparecchiature e dispositivi medici e di servizi connessi per la ventilazione meccanica domiciliare, destinati agli assistiti residenti nel territorio della Azienda sanitaria medesima. </w:t>
      </w:r>
      <w:r w:rsidRPr="008B3F4B">
        <w:rPr>
          <w:rFonts w:asciiTheme="minorHAnsi" w:eastAsia="Times New Roman" w:hAnsiTheme="minorHAnsi" w:cstheme="minorHAnsi"/>
          <w:color w:val="3D3B39"/>
          <w:lang w:eastAsia="it-IT"/>
        </w:rPr>
        <w:br/>
        <w:t xml:space="preserve">2. Con il ricorso introduttivo del presente giudizio la società OMISSIS S.r.l., quale operatore economico del settore, ha impugnato gli atti in epigrafe indicati, contenenti la legge di gara, chiedendone l’annullamento previa sospensione cautelare dell’efficacia. Tali atti sono reputati illegittimi dalla ricorrente nella parte in cui: </w:t>
      </w:r>
      <w:r w:rsidRPr="008B3F4B">
        <w:rPr>
          <w:rFonts w:asciiTheme="minorHAnsi" w:eastAsia="Times New Roman" w:hAnsiTheme="minorHAnsi" w:cstheme="minorHAnsi"/>
          <w:color w:val="3D3B39"/>
          <w:lang w:eastAsia="it-IT"/>
        </w:rPr>
        <w:br/>
        <w:t xml:space="preserve">(i) fissano quale criterio di aggiudicazione dell’appalto quello del prezzo più basso; </w:t>
      </w:r>
      <w:r w:rsidRPr="008B3F4B">
        <w:rPr>
          <w:rFonts w:asciiTheme="minorHAnsi" w:eastAsia="Times New Roman" w:hAnsiTheme="minorHAnsi" w:cstheme="minorHAnsi"/>
          <w:color w:val="3D3B39"/>
          <w:lang w:eastAsia="it-IT"/>
        </w:rPr>
        <w:br/>
        <w:t xml:space="preserve">(ii) non predeterminano specifici requisiti di capacità economica finanziaria e di capacità tecnico professionale ai fini della partecipazione alla gara; </w:t>
      </w:r>
      <w:r w:rsidRPr="008B3F4B">
        <w:rPr>
          <w:rFonts w:asciiTheme="minorHAnsi" w:eastAsia="Times New Roman" w:hAnsiTheme="minorHAnsi" w:cstheme="minorHAnsi"/>
          <w:color w:val="3D3B39"/>
          <w:lang w:eastAsia="it-IT"/>
        </w:rPr>
        <w:br/>
        <w:t xml:space="preserve">(iii) prevedono una impegnativa clausola di cd. adesione. </w:t>
      </w:r>
      <w:r w:rsidRPr="008B3F4B">
        <w:rPr>
          <w:rFonts w:asciiTheme="minorHAnsi" w:eastAsia="Times New Roman" w:hAnsiTheme="minorHAnsi" w:cstheme="minorHAnsi"/>
          <w:color w:val="3D3B39"/>
          <w:lang w:eastAsia="it-IT"/>
        </w:rPr>
        <w:br/>
        <w:t xml:space="preserve">3.1. Si è costituita in giudizio la ASST, dapprima con atto di mera forma e successivamente con memoria difensiva, opponendosi in rito e nel merito alle domande avversarie e concludendo per la reiezione del ricorso. </w:t>
      </w:r>
      <w:r w:rsidRPr="008B3F4B">
        <w:rPr>
          <w:rFonts w:asciiTheme="minorHAnsi" w:eastAsia="Times New Roman" w:hAnsiTheme="minorHAnsi" w:cstheme="minorHAnsi"/>
          <w:color w:val="3D3B39"/>
          <w:lang w:eastAsia="it-IT"/>
        </w:rPr>
        <w:br/>
        <w:t xml:space="preserve">3.2. In rito, l’Amministrazione ha eccepito l’inammissibilità del ricorso per carenza di interesse, non essendo le clausole contestate impeditive della partecipazione alla gara. </w:t>
      </w:r>
      <w:r w:rsidRPr="008B3F4B">
        <w:rPr>
          <w:rFonts w:asciiTheme="minorHAnsi" w:eastAsia="Times New Roman" w:hAnsiTheme="minorHAnsi" w:cstheme="minorHAnsi"/>
          <w:color w:val="3D3B39"/>
          <w:lang w:eastAsia="it-IT"/>
        </w:rPr>
        <w:br/>
        <w:t xml:space="preserve">3.3. Nel merito, </w:t>
      </w:r>
      <w:proofErr w:type="spellStart"/>
      <w:r w:rsidRPr="008B3F4B">
        <w:rPr>
          <w:rFonts w:asciiTheme="minorHAnsi" w:eastAsia="Times New Roman" w:hAnsiTheme="minorHAnsi" w:cstheme="minorHAnsi"/>
          <w:color w:val="3D3B39"/>
          <w:lang w:eastAsia="it-IT"/>
        </w:rPr>
        <w:t>lAzienda</w:t>
      </w:r>
      <w:proofErr w:type="spellEnd"/>
      <w:r w:rsidRPr="008B3F4B">
        <w:rPr>
          <w:rFonts w:asciiTheme="minorHAnsi" w:eastAsia="Times New Roman" w:hAnsiTheme="minorHAnsi" w:cstheme="minorHAnsi"/>
          <w:color w:val="3D3B39"/>
          <w:lang w:eastAsia="it-IT"/>
        </w:rPr>
        <w:t xml:space="preserve"> sanitaria ha puntualmente </w:t>
      </w:r>
      <w:proofErr w:type="spellStart"/>
      <w:r w:rsidRPr="008B3F4B">
        <w:rPr>
          <w:rFonts w:asciiTheme="minorHAnsi" w:eastAsia="Times New Roman" w:hAnsiTheme="minorHAnsi" w:cstheme="minorHAnsi"/>
          <w:color w:val="3D3B39"/>
          <w:lang w:eastAsia="it-IT"/>
        </w:rPr>
        <w:t>controdedotto</w:t>
      </w:r>
      <w:proofErr w:type="spellEnd"/>
      <w:r w:rsidRPr="008B3F4B">
        <w:rPr>
          <w:rFonts w:asciiTheme="minorHAnsi" w:eastAsia="Times New Roman" w:hAnsiTheme="minorHAnsi" w:cstheme="minorHAnsi"/>
          <w:color w:val="3D3B39"/>
          <w:lang w:eastAsia="it-IT"/>
        </w:rPr>
        <w:t xml:space="preserve"> a ciascuna delle doglianze prospettate dalla ricorrente. </w:t>
      </w:r>
      <w:r w:rsidRPr="008B3F4B">
        <w:rPr>
          <w:rFonts w:asciiTheme="minorHAnsi" w:eastAsia="Times New Roman" w:hAnsiTheme="minorHAnsi" w:cstheme="minorHAnsi"/>
          <w:color w:val="3D3B39"/>
          <w:lang w:eastAsia="it-IT"/>
        </w:rPr>
        <w:br/>
        <w:t xml:space="preserve">4. Le parti hanno insistito sulle rispettive tesi nei successivi scritti difensivi. </w:t>
      </w:r>
      <w:r w:rsidRPr="008B3F4B">
        <w:rPr>
          <w:rFonts w:asciiTheme="minorHAnsi" w:eastAsia="Times New Roman" w:hAnsiTheme="minorHAnsi" w:cstheme="minorHAnsi"/>
          <w:color w:val="3D3B39"/>
          <w:lang w:eastAsia="it-IT"/>
        </w:rPr>
        <w:br/>
        <w:t xml:space="preserve">5. La domanda cautelare è stata rigettata da questo Tribunale, per difetto del requisito normativo del </w:t>
      </w:r>
      <w:proofErr w:type="spellStart"/>
      <w:r w:rsidRPr="008B3F4B">
        <w:rPr>
          <w:rFonts w:asciiTheme="minorHAnsi" w:eastAsia="Times New Roman" w:hAnsiTheme="minorHAnsi" w:cstheme="minorHAnsi"/>
          <w:color w:val="3D3B39"/>
          <w:lang w:eastAsia="it-IT"/>
        </w:rPr>
        <w:t>periculum</w:t>
      </w:r>
      <w:proofErr w:type="spellEnd"/>
      <w:r w:rsidRPr="008B3F4B">
        <w:rPr>
          <w:rFonts w:asciiTheme="minorHAnsi" w:eastAsia="Times New Roman" w:hAnsiTheme="minorHAnsi" w:cstheme="minorHAnsi"/>
          <w:color w:val="3D3B39"/>
          <w:lang w:eastAsia="it-IT"/>
        </w:rPr>
        <w:t xml:space="preserve"> in mora, avendo la ricorrente presentato offerto nella gara in discussione. </w:t>
      </w:r>
      <w:r w:rsidRPr="008B3F4B">
        <w:rPr>
          <w:rFonts w:asciiTheme="minorHAnsi" w:eastAsia="Times New Roman" w:hAnsiTheme="minorHAnsi" w:cstheme="minorHAnsi"/>
          <w:color w:val="3D3B39"/>
          <w:lang w:eastAsia="it-IT"/>
        </w:rPr>
        <w:br/>
        <w:t xml:space="preserve">6. Alla pubblica udienza del 18 aprile 2019, il Tribunale, ritenuto che non sussistessero ragioni per disporre differimento richiesto dalla ricorrente, anche in considerazione della ratio acceleratoria che permea il rito degli appalti e della opposizione al rinvio manifestata dalla Amministrazione resistente, ha trattenuto la causa in decisione. </w:t>
      </w:r>
    </w:p>
    <w:p w:rsidR="008B3F4B" w:rsidRPr="008B3F4B" w:rsidRDefault="008B3F4B" w:rsidP="008B3F4B">
      <w:pPr>
        <w:spacing w:after="265"/>
        <w:jc w:val="center"/>
        <w:rPr>
          <w:rFonts w:asciiTheme="minorHAnsi" w:eastAsia="Times New Roman" w:hAnsiTheme="minorHAnsi" w:cstheme="minorHAnsi"/>
          <w:color w:val="3D3B39"/>
          <w:lang w:eastAsia="it-IT"/>
        </w:rPr>
      </w:pPr>
      <w:r w:rsidRPr="008B3F4B">
        <w:rPr>
          <w:rFonts w:asciiTheme="minorHAnsi" w:eastAsia="Times New Roman" w:hAnsiTheme="minorHAnsi" w:cstheme="minorHAnsi"/>
          <w:b/>
          <w:bCs/>
          <w:color w:val="3D3B39"/>
          <w:lang w:eastAsia="it-IT"/>
        </w:rPr>
        <w:t>DIRITTO</w:t>
      </w:r>
    </w:p>
    <w:p w:rsidR="008B3F4B" w:rsidRPr="008B3F4B" w:rsidRDefault="008B3F4B" w:rsidP="008B3F4B">
      <w:pPr>
        <w:spacing w:after="265"/>
        <w:rPr>
          <w:rFonts w:asciiTheme="minorHAnsi" w:eastAsia="Times New Roman" w:hAnsiTheme="minorHAnsi" w:cstheme="minorHAnsi"/>
          <w:color w:val="3D3B39"/>
          <w:lang w:eastAsia="it-IT"/>
        </w:rPr>
      </w:pPr>
      <w:r w:rsidRPr="008B3F4B">
        <w:rPr>
          <w:rFonts w:asciiTheme="minorHAnsi" w:eastAsia="Times New Roman" w:hAnsiTheme="minorHAnsi" w:cstheme="minorHAnsi"/>
          <w:color w:val="3D3B39"/>
          <w:lang w:eastAsia="it-IT"/>
        </w:rPr>
        <w:t xml:space="preserve">1. Viene sottoposta al vaglio di legittimità di questo Tribunale amministrativo regionale la disciplina regolatrice della gara bandita dalla ASST Rhodense per la stipula di accordi quadro con una pluralità di operatori, ai sensi dell’articolo 54, comma 4, lettera a), </w:t>
      </w:r>
      <w:proofErr w:type="spellStart"/>
      <w:r w:rsidRPr="008B3F4B">
        <w:rPr>
          <w:rFonts w:asciiTheme="minorHAnsi" w:eastAsia="Times New Roman" w:hAnsiTheme="minorHAnsi" w:cstheme="minorHAnsi"/>
          <w:color w:val="3D3B39"/>
          <w:lang w:eastAsia="it-IT"/>
        </w:rPr>
        <w:t>D.Lgs.</w:t>
      </w:r>
      <w:proofErr w:type="spellEnd"/>
      <w:r w:rsidRPr="008B3F4B">
        <w:rPr>
          <w:rFonts w:asciiTheme="minorHAnsi" w:eastAsia="Times New Roman" w:hAnsiTheme="minorHAnsi" w:cstheme="minorHAnsi"/>
          <w:color w:val="3D3B39"/>
          <w:lang w:eastAsia="it-IT"/>
        </w:rPr>
        <w:t xml:space="preserve"> n. 50/2016, della durata di 36 mesi, aventi ad oggetto la fornitura in noleggio di apparecchiature e dispositivi medici e servizi connessi per la ventilazione meccanica domiciliare destinati agli assistiti residenti nel territorio dell’Azienda sanitaria medesima. </w:t>
      </w:r>
      <w:r w:rsidRPr="008B3F4B">
        <w:rPr>
          <w:rFonts w:asciiTheme="minorHAnsi" w:eastAsia="Times New Roman" w:hAnsiTheme="minorHAnsi" w:cstheme="minorHAnsi"/>
          <w:color w:val="3D3B39"/>
          <w:lang w:eastAsia="it-IT"/>
        </w:rPr>
        <w:br/>
        <w:t xml:space="preserve">2.1. La società OMISSIS S.r.l., che è operatore economico del settore, ritiene che gli atti contenenti tale legge di gara siano illegittimi per un triplice ordine di ragioni, e ne chiede, conseguentemente l’annullamento. </w:t>
      </w:r>
      <w:r w:rsidRPr="008B3F4B">
        <w:rPr>
          <w:rFonts w:asciiTheme="minorHAnsi" w:eastAsia="Times New Roman" w:hAnsiTheme="minorHAnsi" w:cstheme="minorHAnsi"/>
          <w:color w:val="3D3B39"/>
          <w:lang w:eastAsia="it-IT"/>
        </w:rPr>
        <w:br/>
        <w:t xml:space="preserve">2.2. Con il primo motivo di ricorso parte ricorrente deduce i vizi di “Violazione e falsa applicazione degli artt. 3, 41, 97 e 98 Costituzione; violazione e falsa applicazione del d.lgs. 50/2016, con particolare riferimento agli artt. 30, 68, 95 e 54. Violazione del principio della par condicio dei concorrenti nonché dei principi di </w:t>
      </w:r>
      <w:r w:rsidRPr="008B3F4B">
        <w:rPr>
          <w:rFonts w:asciiTheme="minorHAnsi" w:eastAsia="Times New Roman" w:hAnsiTheme="minorHAnsi" w:cstheme="minorHAnsi"/>
          <w:color w:val="3D3B39"/>
          <w:lang w:eastAsia="it-IT"/>
        </w:rPr>
        <w:lastRenderedPageBreak/>
        <w:t xml:space="preserve">buon andamento, imparzialità e trasparenza dell’azione amministrativa. Difetto istruttorio. Difetto assoluto di motivazione. Ingiustizia manifesta. Illogicità irragionevolezza”. </w:t>
      </w:r>
      <w:r w:rsidRPr="008B3F4B">
        <w:rPr>
          <w:rFonts w:asciiTheme="minorHAnsi" w:eastAsia="Times New Roman" w:hAnsiTheme="minorHAnsi" w:cstheme="minorHAnsi"/>
          <w:color w:val="3D3B39"/>
          <w:lang w:eastAsia="it-IT"/>
        </w:rPr>
        <w:br/>
        <w:t xml:space="preserve">Ritiene la deducente che la fornitura per cui è causa non sia tra quelle aggiudicabili con il criterio del prezzo più basso, non rientrando tra i contratti di cui al comma 4 dell’articolo 95 del </w:t>
      </w:r>
      <w:proofErr w:type="spellStart"/>
      <w:r w:rsidRPr="008B3F4B">
        <w:rPr>
          <w:rFonts w:asciiTheme="minorHAnsi" w:eastAsia="Times New Roman" w:hAnsiTheme="minorHAnsi" w:cstheme="minorHAnsi"/>
          <w:color w:val="3D3B39"/>
          <w:lang w:eastAsia="it-IT"/>
        </w:rPr>
        <w:t>D.Lgs.</w:t>
      </w:r>
      <w:proofErr w:type="spellEnd"/>
      <w:r w:rsidRPr="008B3F4B">
        <w:rPr>
          <w:rFonts w:asciiTheme="minorHAnsi" w:eastAsia="Times New Roman" w:hAnsiTheme="minorHAnsi" w:cstheme="minorHAnsi"/>
          <w:color w:val="3D3B39"/>
          <w:lang w:eastAsia="it-IT"/>
        </w:rPr>
        <w:t xml:space="preserve"> n. 50/2016. Non si tratterebbe, cioè, di fornitura “con caratteristiche standardizzate o le cui condizioni sono definite dal mercato”, avendo a oggetto strumenti di alta complessità tecnica, funzionali al trattamento terapeutico personalizzato di patologie molto diverse tra loro. </w:t>
      </w:r>
      <w:r w:rsidRPr="008B3F4B">
        <w:rPr>
          <w:rFonts w:asciiTheme="minorHAnsi" w:eastAsia="Times New Roman" w:hAnsiTheme="minorHAnsi" w:cstheme="minorHAnsi"/>
          <w:color w:val="3D3B39"/>
          <w:lang w:eastAsia="it-IT"/>
        </w:rPr>
        <w:br/>
        <w:t xml:space="preserve">Lamenta, inoltre, che la stazione appaltante non abbia motivato la propria scelta di utilizzare quello che nel disegno legislativo è chiaramente un criterio residuale, a fronte dell’indiscutibile </w:t>
      </w:r>
      <w:proofErr w:type="spellStart"/>
      <w:r w:rsidRPr="008B3F4B">
        <w:rPr>
          <w:rFonts w:asciiTheme="minorHAnsi" w:eastAsia="Times New Roman" w:hAnsiTheme="minorHAnsi" w:cstheme="minorHAnsi"/>
          <w:color w:val="3D3B39"/>
          <w:lang w:eastAsia="it-IT"/>
        </w:rPr>
        <w:t>favor</w:t>
      </w:r>
      <w:proofErr w:type="spellEnd"/>
      <w:r w:rsidRPr="008B3F4B">
        <w:rPr>
          <w:rFonts w:asciiTheme="minorHAnsi" w:eastAsia="Times New Roman" w:hAnsiTheme="minorHAnsi" w:cstheme="minorHAnsi"/>
          <w:color w:val="3D3B39"/>
          <w:lang w:eastAsia="it-IT"/>
        </w:rPr>
        <w:t xml:space="preserve"> </w:t>
      </w:r>
      <w:proofErr w:type="spellStart"/>
      <w:r w:rsidRPr="008B3F4B">
        <w:rPr>
          <w:rFonts w:asciiTheme="minorHAnsi" w:eastAsia="Times New Roman" w:hAnsiTheme="minorHAnsi" w:cstheme="minorHAnsi"/>
          <w:color w:val="3D3B39"/>
          <w:lang w:eastAsia="it-IT"/>
        </w:rPr>
        <w:t>legis</w:t>
      </w:r>
      <w:proofErr w:type="spellEnd"/>
      <w:r w:rsidRPr="008B3F4B">
        <w:rPr>
          <w:rFonts w:asciiTheme="minorHAnsi" w:eastAsia="Times New Roman" w:hAnsiTheme="minorHAnsi" w:cstheme="minorHAnsi"/>
          <w:color w:val="3D3B39"/>
          <w:lang w:eastAsia="it-IT"/>
        </w:rPr>
        <w:t xml:space="preserve"> per il criterio dell’offerta economicamente più vantaggiosa. </w:t>
      </w:r>
      <w:r w:rsidRPr="008B3F4B">
        <w:rPr>
          <w:rFonts w:asciiTheme="minorHAnsi" w:eastAsia="Times New Roman" w:hAnsiTheme="minorHAnsi" w:cstheme="minorHAnsi"/>
          <w:color w:val="3D3B39"/>
          <w:lang w:eastAsia="it-IT"/>
        </w:rPr>
        <w:br/>
        <w:t xml:space="preserve">2.3. Con il secondo motivo di ricorso parte ricorrente deduce i vizi di “Violazione e falsa applicazione del d.lgs. 50/2016, con particolare riferimento agli artt. 30, 54 e 83. Violazione dei principi di buon andamento, imparzialità e trasparenza dell’azione amministrativa. Difetto istruttorio. Difetto assoluto di motivazione. Ingiustizia manifesta. Illogicità ed irragionevolezza”. </w:t>
      </w:r>
      <w:r w:rsidRPr="008B3F4B">
        <w:rPr>
          <w:rFonts w:asciiTheme="minorHAnsi" w:eastAsia="Times New Roman" w:hAnsiTheme="minorHAnsi" w:cstheme="minorHAnsi"/>
          <w:color w:val="3D3B39"/>
          <w:lang w:eastAsia="it-IT"/>
        </w:rPr>
        <w:br/>
        <w:t xml:space="preserve">Si duole la deducente del fatto che non sia stato previsto alcun requisito di capacità economico-finanziaria o tecnico-professionale ai fini della partecipazione, osservando come l’apertura al mercato e alla concorrenza non possa mai spingersi sino al punto di compromettere o comunque porre seriamente in pericolo la regolare esecuzione del contratto. </w:t>
      </w:r>
      <w:r w:rsidRPr="008B3F4B">
        <w:rPr>
          <w:rFonts w:asciiTheme="minorHAnsi" w:eastAsia="Times New Roman" w:hAnsiTheme="minorHAnsi" w:cstheme="minorHAnsi"/>
          <w:color w:val="3D3B39"/>
          <w:lang w:eastAsia="it-IT"/>
        </w:rPr>
        <w:br/>
        <w:t xml:space="preserve">2.4. Con il terzo motivo di ricorso parte ricorrente deduce i vizi di “Violazione e falsa applicazione degli artt. 3, 41, 97 e 98 Costituzione; violazione e falsa applicazione del d.lgs. 50/2016, con particolare riferimento agli artt. 30, 37, 54 e 59. Violazione del principio della par condicio dei concorrenti nonché dei principi di buon andamento, imparzialità e trasparenza dell’azione amministrativa. Difetto istruttorio. Difetto assoluto di motivazione. Ingiustizia manifesta. Travisamento, illogicità irragionevolezza”. </w:t>
      </w:r>
      <w:r w:rsidRPr="008B3F4B">
        <w:rPr>
          <w:rFonts w:asciiTheme="minorHAnsi" w:eastAsia="Times New Roman" w:hAnsiTheme="minorHAnsi" w:cstheme="minorHAnsi"/>
          <w:color w:val="3D3B39"/>
          <w:lang w:eastAsia="it-IT"/>
        </w:rPr>
        <w:br/>
        <w:t xml:space="preserve">Contesta la deducente la clausola di estensione del contratto alle Aziende appartenenti al “Consorzio per gli Acquisti Enti Sanitari Pubblici Milano” che vorranno aggiungersi nel termine di 30 mesi fino a un massimo di prestazioni pari al 300%, perché violerebbe la regola dell’evidenza pubblica e renderebbe indeterminabile l’offerta. Inoltre, sempre secondo OMISSIS S.r.l., l’estensione sino al 300% del valore complessivo aggiudicato per ciascun lotto sarebbe manifestamente sproporzionato oltre che irragionevole. </w:t>
      </w:r>
      <w:r w:rsidRPr="008B3F4B">
        <w:rPr>
          <w:rFonts w:asciiTheme="minorHAnsi" w:eastAsia="Times New Roman" w:hAnsiTheme="minorHAnsi" w:cstheme="minorHAnsi"/>
          <w:color w:val="3D3B39"/>
          <w:lang w:eastAsia="it-IT"/>
        </w:rPr>
        <w:br/>
        <w:t xml:space="preserve">3.1. Preliminarmente, il Collegio deve farsi carico dell’eccezione di inammissibilità sollevata dalla difesa della ASST, per essere stata impugnata la legge di gara prima dell’espletamento della gara stessa, e non unitamente all’aggiudicazione del contratto. </w:t>
      </w:r>
      <w:r w:rsidRPr="008B3F4B">
        <w:rPr>
          <w:rFonts w:asciiTheme="minorHAnsi" w:eastAsia="Times New Roman" w:hAnsiTheme="minorHAnsi" w:cstheme="minorHAnsi"/>
          <w:color w:val="3D3B39"/>
          <w:lang w:eastAsia="it-IT"/>
        </w:rPr>
        <w:br/>
        <w:t xml:space="preserve">L’eccezione è fondata e merita accoglimento. </w:t>
      </w:r>
      <w:r w:rsidRPr="008B3F4B">
        <w:rPr>
          <w:rFonts w:asciiTheme="minorHAnsi" w:eastAsia="Times New Roman" w:hAnsiTheme="minorHAnsi" w:cstheme="minorHAnsi"/>
          <w:color w:val="3D3B39"/>
          <w:lang w:eastAsia="it-IT"/>
        </w:rPr>
        <w:br/>
        <w:t xml:space="preserve">3.2. In un sistema a giurisdizione soggettiva, quale è quello scelto dall’ordinamento, il sindacato giurisdizionale sui provvedimenti amministrativi non è finalizzato alla soddisfazione dell’astratto interesse generale alla legalità dell’azione amministrativa, bensì alla tutela dell’interesse concreto e attuale di colui che esercita l’azione </w:t>
      </w:r>
      <w:proofErr w:type="spellStart"/>
      <w:r w:rsidRPr="008B3F4B">
        <w:rPr>
          <w:rFonts w:asciiTheme="minorHAnsi" w:eastAsia="Times New Roman" w:hAnsiTheme="minorHAnsi" w:cstheme="minorHAnsi"/>
          <w:color w:val="3D3B39"/>
          <w:lang w:eastAsia="it-IT"/>
        </w:rPr>
        <w:t>caducatoria</w:t>
      </w:r>
      <w:proofErr w:type="spellEnd"/>
      <w:r w:rsidRPr="008B3F4B">
        <w:rPr>
          <w:rFonts w:asciiTheme="minorHAnsi" w:eastAsia="Times New Roman" w:hAnsiTheme="minorHAnsi" w:cstheme="minorHAnsi"/>
          <w:color w:val="3D3B39"/>
          <w:lang w:eastAsia="it-IT"/>
        </w:rPr>
        <w:t xml:space="preserve"> (cfr., T.A.R. Friuli Venezia Giulia, sentenza n. 307/2018). </w:t>
      </w:r>
      <w:r w:rsidRPr="008B3F4B">
        <w:rPr>
          <w:rFonts w:asciiTheme="minorHAnsi" w:eastAsia="Times New Roman" w:hAnsiTheme="minorHAnsi" w:cstheme="minorHAnsi"/>
          <w:color w:val="3D3B39"/>
          <w:lang w:eastAsia="it-IT"/>
        </w:rPr>
        <w:br/>
        <w:t xml:space="preserve">L’interesse a ricorrere, quale specifica utilità che il ricorrente può trarre dalla pronuncia favorevole dell’Autorità giudiziaria in relazione alla propria posizione soggettiva, che ritiene lesa dal provvedimento amministrativo impugnato (cfr., T.A.R. Puglia – Bari, Sez. II, sentenza n. 1316/2018), costituisce, quindi, una condizione dell’azione, che – come tale - deve sussistere al momento della proposizione del ricorso e perdurare per tutta la sua durata (cfr., T.A.R. Lazio – Roma, Sez. III, sentenza n. 1713/2019) </w:t>
      </w:r>
      <w:r w:rsidRPr="008B3F4B">
        <w:rPr>
          <w:rFonts w:asciiTheme="minorHAnsi" w:eastAsia="Times New Roman" w:hAnsiTheme="minorHAnsi" w:cstheme="minorHAnsi"/>
          <w:color w:val="3D3B39"/>
          <w:lang w:eastAsia="it-IT"/>
        </w:rPr>
        <w:br/>
        <w:t xml:space="preserve">Di regola, l’interesse a ricorrere sorge con la conclusione del procedimento amministrativo, perché è solamente con l’adozione del provvedimento finale che la lesione alla posizione giuridica soggettiva del ricorrente diviene attuale. Nelle procedure ad evidenza pubblica, quale quella oggetto del presente giudizio, di regola la lesione è collegata alla aggiudicazione del contratto. </w:t>
      </w:r>
      <w:r w:rsidRPr="008B3F4B">
        <w:rPr>
          <w:rFonts w:asciiTheme="minorHAnsi" w:eastAsia="Times New Roman" w:hAnsiTheme="minorHAnsi" w:cstheme="minorHAnsi"/>
          <w:color w:val="3D3B39"/>
          <w:lang w:eastAsia="it-IT"/>
        </w:rPr>
        <w:br/>
        <w:t xml:space="preserve">Nel tempo la giurisprudenza ha enucleato una serie di eccezione alla </w:t>
      </w:r>
      <w:proofErr w:type="spellStart"/>
      <w:r w:rsidRPr="008B3F4B">
        <w:rPr>
          <w:rFonts w:asciiTheme="minorHAnsi" w:eastAsia="Times New Roman" w:hAnsiTheme="minorHAnsi" w:cstheme="minorHAnsi"/>
          <w:color w:val="3D3B39"/>
          <w:lang w:eastAsia="it-IT"/>
        </w:rPr>
        <w:t>suvvista</w:t>
      </w:r>
      <w:proofErr w:type="spellEnd"/>
      <w:r w:rsidRPr="008B3F4B">
        <w:rPr>
          <w:rFonts w:asciiTheme="minorHAnsi" w:eastAsia="Times New Roman" w:hAnsiTheme="minorHAnsi" w:cstheme="minorHAnsi"/>
          <w:color w:val="3D3B39"/>
          <w:lang w:eastAsia="it-IT"/>
        </w:rPr>
        <w:t xml:space="preserve"> regola, ribadite di recente dall’Adunanza plenaria del Consiglio di Stato nella sentenza n. 4/2018. In particolare, per quanto qui di interesse, il bando e in genere gli atti contenenti la legge di gara devono essere impugnati immediatamente, anziché unitamente al provvedimento conclusivo del procedimento (i.e. l’aggiudicazione), qualora contengano clausole in qualche modo preclusive della partecipazione alla procedura concorrenziale. Tali sono le clausole che pongono requisiti di partecipazione di cui il potenziale concorrente non è in possesso o che fissano oneri che rendono difficile se non impossibile la formulazione di un’offerta o ancora che impediscono di presentare un’offerta remunerativa (cfr., </w:t>
      </w:r>
      <w:proofErr w:type="spellStart"/>
      <w:r w:rsidRPr="008B3F4B">
        <w:rPr>
          <w:rFonts w:asciiTheme="minorHAnsi" w:eastAsia="Times New Roman" w:hAnsiTheme="minorHAnsi" w:cstheme="minorHAnsi"/>
          <w:color w:val="3D3B39"/>
          <w:lang w:eastAsia="it-IT"/>
        </w:rPr>
        <w:t>C.d.S</w:t>
      </w:r>
      <w:proofErr w:type="spellEnd"/>
      <w:r w:rsidRPr="008B3F4B">
        <w:rPr>
          <w:rFonts w:asciiTheme="minorHAnsi" w:eastAsia="Times New Roman" w:hAnsiTheme="minorHAnsi" w:cstheme="minorHAnsi"/>
          <w:color w:val="3D3B39"/>
          <w:lang w:eastAsia="it-IT"/>
        </w:rPr>
        <w:t xml:space="preserve">., Sez. III, sentenza </w:t>
      </w:r>
      <w:r w:rsidRPr="008B3F4B">
        <w:rPr>
          <w:rFonts w:asciiTheme="minorHAnsi" w:eastAsia="Times New Roman" w:hAnsiTheme="minorHAnsi" w:cstheme="minorHAnsi"/>
          <w:color w:val="3D3B39"/>
          <w:lang w:eastAsia="it-IT"/>
        </w:rPr>
        <w:lastRenderedPageBreak/>
        <w:t xml:space="preserve">n. 1331/2019). </w:t>
      </w:r>
      <w:r w:rsidRPr="008B3F4B">
        <w:rPr>
          <w:rFonts w:asciiTheme="minorHAnsi" w:eastAsia="Times New Roman" w:hAnsiTheme="minorHAnsi" w:cstheme="minorHAnsi"/>
          <w:color w:val="3D3B39"/>
          <w:lang w:eastAsia="it-IT"/>
        </w:rPr>
        <w:br/>
        <w:t xml:space="preserve">3.3. Orbene, nessuna delle clausole contestate dalla ricorrente rientra nelle </w:t>
      </w:r>
      <w:proofErr w:type="spellStart"/>
      <w:r w:rsidRPr="008B3F4B">
        <w:rPr>
          <w:rFonts w:asciiTheme="minorHAnsi" w:eastAsia="Times New Roman" w:hAnsiTheme="minorHAnsi" w:cstheme="minorHAnsi"/>
          <w:color w:val="3D3B39"/>
          <w:lang w:eastAsia="it-IT"/>
        </w:rPr>
        <w:t>suvviste</w:t>
      </w:r>
      <w:proofErr w:type="spellEnd"/>
      <w:r w:rsidRPr="008B3F4B">
        <w:rPr>
          <w:rFonts w:asciiTheme="minorHAnsi" w:eastAsia="Times New Roman" w:hAnsiTheme="minorHAnsi" w:cstheme="minorHAnsi"/>
          <w:color w:val="3D3B39"/>
          <w:lang w:eastAsia="it-IT"/>
        </w:rPr>
        <w:t xml:space="preserve"> categorie, nessuna cioè è preclusiva della partecipazione alla gara (come del resto, dimostra il fatto che essa pure abbia presentato offerta e – a quanto consta – non sia stata esclusa). </w:t>
      </w:r>
      <w:r w:rsidRPr="008B3F4B">
        <w:rPr>
          <w:rFonts w:asciiTheme="minorHAnsi" w:eastAsia="Times New Roman" w:hAnsiTheme="minorHAnsi" w:cstheme="minorHAnsi"/>
          <w:color w:val="3D3B39"/>
          <w:lang w:eastAsia="it-IT"/>
        </w:rPr>
        <w:br/>
        <w:t xml:space="preserve">In particolare, tale non è la clausola che fissa il criterio di aggiudicazione della convenzione, impugnata con il primo motivo di ricorso, come già questa Sezione ha avuto modo di affermare (cfr., sentenza n. 1430/2018). </w:t>
      </w:r>
      <w:r w:rsidRPr="008B3F4B">
        <w:rPr>
          <w:rFonts w:asciiTheme="minorHAnsi" w:eastAsia="Times New Roman" w:hAnsiTheme="minorHAnsi" w:cstheme="minorHAnsi"/>
          <w:color w:val="3D3B39"/>
          <w:lang w:eastAsia="it-IT"/>
        </w:rPr>
        <w:br/>
        <w:t xml:space="preserve">Tale non è nemmeno l’omessa previsione di requisiti soggettivi di qualificazione ai fini della partecipazione, stigmatizzata dal secondo motivo di ricorso, che all’evidenza non crea alcuna barriera alla presentazione di un’offerta. Tanto è vero che la ricorrente si duole proprio del fatto che in astratto chiunque potrebbe concorrere. </w:t>
      </w:r>
      <w:r w:rsidRPr="008B3F4B">
        <w:rPr>
          <w:rFonts w:asciiTheme="minorHAnsi" w:eastAsia="Times New Roman" w:hAnsiTheme="minorHAnsi" w:cstheme="minorHAnsi"/>
          <w:color w:val="3D3B39"/>
          <w:lang w:eastAsia="it-IT"/>
        </w:rPr>
        <w:br/>
        <w:t xml:space="preserve">Tale non è infine la cd. clausola di adesione, contestata con il terzo motivo di ricorso, posto che la stazione appaltante la ha concepita come facoltativa, ben potendo il concorrente non assoggettarsi a essa (v. art. 19 Capitolato speciale). </w:t>
      </w:r>
      <w:r w:rsidRPr="008B3F4B">
        <w:rPr>
          <w:rFonts w:asciiTheme="minorHAnsi" w:eastAsia="Times New Roman" w:hAnsiTheme="minorHAnsi" w:cstheme="minorHAnsi"/>
          <w:color w:val="3D3B39"/>
          <w:lang w:eastAsia="it-IT"/>
        </w:rPr>
        <w:br/>
        <w:t xml:space="preserve">4.1. In conclusione, il ricorso autonomo del bando e degli atti contenenti la legge di gara, proposto da OMISSIS S.r.l., va dichiarato inammissibile, ai sensi dell’articolo 35, comma 1, lettera b), Cod. </w:t>
      </w:r>
      <w:proofErr w:type="spellStart"/>
      <w:r w:rsidRPr="008B3F4B">
        <w:rPr>
          <w:rFonts w:asciiTheme="minorHAnsi" w:eastAsia="Times New Roman" w:hAnsiTheme="minorHAnsi" w:cstheme="minorHAnsi"/>
          <w:color w:val="3D3B39"/>
          <w:lang w:eastAsia="it-IT"/>
        </w:rPr>
        <w:t>proc</w:t>
      </w:r>
      <w:proofErr w:type="spellEnd"/>
      <w:r w:rsidRPr="008B3F4B">
        <w:rPr>
          <w:rFonts w:asciiTheme="minorHAnsi" w:eastAsia="Times New Roman" w:hAnsiTheme="minorHAnsi" w:cstheme="minorHAnsi"/>
          <w:color w:val="3D3B39"/>
          <w:lang w:eastAsia="it-IT"/>
        </w:rPr>
        <w:t xml:space="preserve">. </w:t>
      </w:r>
      <w:proofErr w:type="spellStart"/>
      <w:r w:rsidRPr="008B3F4B">
        <w:rPr>
          <w:rFonts w:asciiTheme="minorHAnsi" w:eastAsia="Times New Roman" w:hAnsiTheme="minorHAnsi" w:cstheme="minorHAnsi"/>
          <w:color w:val="3D3B39"/>
          <w:lang w:eastAsia="it-IT"/>
        </w:rPr>
        <w:t>amm</w:t>
      </w:r>
      <w:proofErr w:type="spellEnd"/>
      <w:r w:rsidRPr="008B3F4B">
        <w:rPr>
          <w:rFonts w:asciiTheme="minorHAnsi" w:eastAsia="Times New Roman" w:hAnsiTheme="minorHAnsi" w:cstheme="minorHAnsi"/>
          <w:color w:val="3D3B39"/>
          <w:lang w:eastAsia="it-IT"/>
        </w:rPr>
        <w:t xml:space="preserve">., per carenza di interesse. </w:t>
      </w:r>
      <w:r w:rsidRPr="008B3F4B">
        <w:rPr>
          <w:rFonts w:asciiTheme="minorHAnsi" w:eastAsia="Times New Roman" w:hAnsiTheme="minorHAnsi" w:cstheme="minorHAnsi"/>
          <w:color w:val="3D3B39"/>
          <w:lang w:eastAsia="it-IT"/>
        </w:rPr>
        <w:br/>
        <w:t xml:space="preserve">4.2. Le spese seguono la soccombenza e sono liquidate nella misura indicata in dispositivo. </w:t>
      </w:r>
    </w:p>
    <w:p w:rsidR="008B3F4B" w:rsidRPr="008B3F4B" w:rsidRDefault="008B3F4B" w:rsidP="008B3F4B">
      <w:pPr>
        <w:spacing w:after="265"/>
        <w:jc w:val="center"/>
        <w:rPr>
          <w:rFonts w:asciiTheme="minorHAnsi" w:eastAsia="Times New Roman" w:hAnsiTheme="minorHAnsi" w:cstheme="minorHAnsi"/>
          <w:color w:val="3D3B39"/>
          <w:lang w:eastAsia="it-IT"/>
        </w:rPr>
      </w:pPr>
      <w:r w:rsidRPr="008B3F4B">
        <w:rPr>
          <w:rFonts w:asciiTheme="minorHAnsi" w:eastAsia="Times New Roman" w:hAnsiTheme="minorHAnsi" w:cstheme="minorHAnsi"/>
          <w:b/>
          <w:bCs/>
          <w:color w:val="3D3B39"/>
          <w:lang w:eastAsia="it-IT"/>
        </w:rPr>
        <w:t>P.Q.M.</w:t>
      </w:r>
    </w:p>
    <w:p w:rsidR="008B3F4B" w:rsidRPr="008B3F4B" w:rsidRDefault="008B3F4B" w:rsidP="008B3F4B">
      <w:pPr>
        <w:spacing w:after="265"/>
        <w:rPr>
          <w:rFonts w:asciiTheme="minorHAnsi" w:eastAsia="Times New Roman" w:hAnsiTheme="minorHAnsi" w:cstheme="minorHAnsi"/>
          <w:color w:val="3D3B39"/>
          <w:lang w:eastAsia="it-IT"/>
        </w:rPr>
      </w:pPr>
      <w:r w:rsidRPr="008B3F4B">
        <w:rPr>
          <w:rFonts w:asciiTheme="minorHAnsi" w:eastAsia="Times New Roman" w:hAnsiTheme="minorHAnsi" w:cstheme="minorHAnsi"/>
          <w:color w:val="3D3B39"/>
          <w:lang w:eastAsia="it-IT"/>
        </w:rPr>
        <w:t xml:space="preserve">Il Tribunale Amministrativo Regionale per la Lombardia (Sezione Quarta), definitivamente pronunciando sul ricorso, come in epigrafe proposto, lo dichiara inammissibile. </w:t>
      </w:r>
      <w:r w:rsidRPr="008B3F4B">
        <w:rPr>
          <w:rFonts w:asciiTheme="minorHAnsi" w:eastAsia="Times New Roman" w:hAnsiTheme="minorHAnsi" w:cstheme="minorHAnsi"/>
          <w:color w:val="3D3B39"/>
          <w:lang w:eastAsia="it-IT"/>
        </w:rPr>
        <w:br/>
        <w:t xml:space="preserve">Condanna OMISSIS S.r.l. a rifondere a ASST Rhodense le spese di giudizio, che liquida in complessivi €uro 7.000,00, oltre ad accessori di legge se dovuti. </w:t>
      </w:r>
      <w:r w:rsidRPr="008B3F4B">
        <w:rPr>
          <w:rFonts w:asciiTheme="minorHAnsi" w:eastAsia="Times New Roman" w:hAnsiTheme="minorHAnsi" w:cstheme="minorHAnsi"/>
          <w:color w:val="3D3B39"/>
          <w:lang w:eastAsia="it-IT"/>
        </w:rPr>
        <w:br/>
        <w:t xml:space="preserve">Ordina che la presente sentenza sia eseguita dall’Autorità amministrativa. </w:t>
      </w:r>
      <w:r w:rsidRPr="008B3F4B">
        <w:rPr>
          <w:rFonts w:asciiTheme="minorHAnsi" w:eastAsia="Times New Roman" w:hAnsiTheme="minorHAnsi" w:cstheme="minorHAnsi"/>
          <w:color w:val="3D3B39"/>
          <w:lang w:eastAsia="it-IT"/>
        </w:rPr>
        <w:br/>
        <w:t xml:space="preserve">Così deciso in Milano nella camera di consiglio del giorno 18 aprile 2019 con l’intervento dei magistrati: </w:t>
      </w:r>
      <w:r w:rsidRPr="008B3F4B">
        <w:rPr>
          <w:rFonts w:asciiTheme="minorHAnsi" w:eastAsia="Times New Roman" w:hAnsiTheme="minorHAnsi" w:cstheme="minorHAnsi"/>
          <w:color w:val="3D3B39"/>
          <w:lang w:eastAsia="it-IT"/>
        </w:rPr>
        <w:br/>
        <w:t xml:space="preserve">Angelo </w:t>
      </w:r>
      <w:proofErr w:type="spellStart"/>
      <w:r w:rsidRPr="008B3F4B">
        <w:rPr>
          <w:rFonts w:asciiTheme="minorHAnsi" w:eastAsia="Times New Roman" w:hAnsiTheme="minorHAnsi" w:cstheme="minorHAnsi"/>
          <w:color w:val="3D3B39"/>
          <w:lang w:eastAsia="it-IT"/>
        </w:rPr>
        <w:t>Gabbricci</w:t>
      </w:r>
      <w:proofErr w:type="spellEnd"/>
      <w:r w:rsidRPr="008B3F4B">
        <w:rPr>
          <w:rFonts w:asciiTheme="minorHAnsi" w:eastAsia="Times New Roman" w:hAnsiTheme="minorHAnsi" w:cstheme="minorHAnsi"/>
          <w:color w:val="3D3B39"/>
          <w:lang w:eastAsia="it-IT"/>
        </w:rPr>
        <w:t xml:space="preserve">, Presidente </w:t>
      </w:r>
      <w:r w:rsidRPr="008B3F4B">
        <w:rPr>
          <w:rFonts w:asciiTheme="minorHAnsi" w:eastAsia="Times New Roman" w:hAnsiTheme="minorHAnsi" w:cstheme="minorHAnsi"/>
          <w:color w:val="3D3B39"/>
          <w:lang w:eastAsia="it-IT"/>
        </w:rPr>
        <w:br/>
        <w:t xml:space="preserve">Giovanni Zucchini, Consigliere </w:t>
      </w:r>
      <w:r w:rsidRPr="008B3F4B">
        <w:rPr>
          <w:rFonts w:asciiTheme="minorHAnsi" w:eastAsia="Times New Roman" w:hAnsiTheme="minorHAnsi" w:cstheme="minorHAnsi"/>
          <w:color w:val="3D3B39"/>
          <w:lang w:eastAsia="it-IT"/>
        </w:rPr>
        <w:br/>
        <w:t xml:space="preserve">Alessandra </w:t>
      </w:r>
      <w:proofErr w:type="spellStart"/>
      <w:r w:rsidRPr="008B3F4B">
        <w:rPr>
          <w:rFonts w:asciiTheme="minorHAnsi" w:eastAsia="Times New Roman" w:hAnsiTheme="minorHAnsi" w:cstheme="minorHAnsi"/>
          <w:color w:val="3D3B39"/>
          <w:lang w:eastAsia="it-IT"/>
        </w:rPr>
        <w:t>Tagliasacchi</w:t>
      </w:r>
      <w:proofErr w:type="spellEnd"/>
      <w:r w:rsidRPr="008B3F4B">
        <w:rPr>
          <w:rFonts w:asciiTheme="minorHAnsi" w:eastAsia="Times New Roman" w:hAnsiTheme="minorHAnsi" w:cstheme="minorHAnsi"/>
          <w:color w:val="3D3B39"/>
          <w:lang w:eastAsia="it-IT"/>
        </w:rPr>
        <w:t>, Primo Referendario, Estensore</w:t>
      </w:r>
    </w:p>
    <w:p w:rsidR="008B3F4B" w:rsidRPr="00C33C1E" w:rsidRDefault="008B3F4B" w:rsidP="008B3F4B">
      <w:pPr>
        <w:spacing w:after="225"/>
        <w:outlineLvl w:val="2"/>
        <w:rPr>
          <w:rFonts w:asciiTheme="minorHAnsi" w:eastAsia="Times New Roman" w:hAnsiTheme="minorHAnsi" w:cstheme="minorHAnsi"/>
          <w:b/>
          <w:bCs/>
          <w:caps/>
          <w:color w:val="000000"/>
          <w:lang w:eastAsia="it-IT"/>
        </w:rPr>
      </w:pPr>
    </w:p>
    <w:p w:rsidR="008B3F4B" w:rsidRPr="00C33C1E" w:rsidRDefault="008B3F4B" w:rsidP="008B3F4B">
      <w:pPr>
        <w:spacing w:after="225"/>
        <w:outlineLvl w:val="2"/>
        <w:rPr>
          <w:rFonts w:asciiTheme="minorHAnsi" w:eastAsia="Times New Roman" w:hAnsiTheme="minorHAnsi" w:cstheme="minorHAnsi"/>
          <w:b/>
          <w:bCs/>
          <w:caps/>
          <w:color w:val="000000"/>
          <w:lang w:eastAsia="it-IT"/>
        </w:rPr>
      </w:pPr>
    </w:p>
    <w:p w:rsidR="008B3F4B" w:rsidRPr="00C33C1E" w:rsidRDefault="008B3F4B" w:rsidP="008B3F4B">
      <w:pPr>
        <w:spacing w:after="225"/>
        <w:outlineLvl w:val="2"/>
        <w:rPr>
          <w:rFonts w:asciiTheme="minorHAnsi" w:eastAsia="Times New Roman" w:hAnsiTheme="minorHAnsi" w:cstheme="minorHAnsi"/>
          <w:b/>
          <w:bCs/>
          <w:caps/>
          <w:color w:val="000000"/>
          <w:lang w:eastAsia="it-IT"/>
        </w:rPr>
      </w:pPr>
    </w:p>
    <w:p w:rsidR="008B3F4B" w:rsidRPr="00C33C1E" w:rsidRDefault="008B3F4B" w:rsidP="008B3F4B">
      <w:pPr>
        <w:spacing w:after="225"/>
        <w:outlineLvl w:val="2"/>
        <w:rPr>
          <w:rFonts w:asciiTheme="minorHAnsi" w:eastAsia="Times New Roman" w:hAnsiTheme="minorHAnsi" w:cstheme="minorHAnsi"/>
          <w:b/>
          <w:bCs/>
          <w:caps/>
          <w:color w:val="000000"/>
          <w:lang w:eastAsia="it-IT"/>
        </w:rPr>
      </w:pPr>
    </w:p>
    <w:p w:rsidR="008B3F4B" w:rsidRPr="00C33C1E" w:rsidRDefault="008B3F4B" w:rsidP="008B3F4B">
      <w:pPr>
        <w:spacing w:after="225"/>
        <w:outlineLvl w:val="2"/>
        <w:rPr>
          <w:rFonts w:asciiTheme="minorHAnsi" w:eastAsia="Times New Roman" w:hAnsiTheme="minorHAnsi" w:cstheme="minorHAnsi"/>
          <w:b/>
          <w:bCs/>
          <w:caps/>
          <w:color w:val="000000"/>
          <w:lang w:eastAsia="it-IT"/>
        </w:rPr>
      </w:pPr>
    </w:p>
    <w:p w:rsidR="008B3F4B" w:rsidRPr="00C33C1E" w:rsidRDefault="008B3F4B" w:rsidP="008B3F4B">
      <w:pPr>
        <w:spacing w:after="225"/>
        <w:outlineLvl w:val="2"/>
        <w:rPr>
          <w:rFonts w:asciiTheme="minorHAnsi" w:eastAsia="Times New Roman" w:hAnsiTheme="minorHAnsi" w:cstheme="minorHAnsi"/>
          <w:b/>
          <w:bCs/>
          <w:caps/>
          <w:color w:val="000000"/>
          <w:lang w:eastAsia="it-IT"/>
        </w:rPr>
      </w:pPr>
    </w:p>
    <w:p w:rsidR="008B3F4B" w:rsidRPr="00C33C1E" w:rsidRDefault="008B3F4B" w:rsidP="008B3F4B">
      <w:pPr>
        <w:spacing w:after="225"/>
        <w:outlineLvl w:val="2"/>
        <w:rPr>
          <w:rFonts w:asciiTheme="minorHAnsi" w:eastAsia="Times New Roman" w:hAnsiTheme="minorHAnsi" w:cstheme="minorHAnsi"/>
          <w:b/>
          <w:bCs/>
          <w:caps/>
          <w:color w:val="000000"/>
          <w:lang w:eastAsia="it-IT"/>
        </w:rPr>
      </w:pPr>
    </w:p>
    <w:p w:rsidR="008B3F4B" w:rsidRPr="00C33C1E" w:rsidRDefault="008B3F4B" w:rsidP="008B3F4B">
      <w:pPr>
        <w:spacing w:after="225"/>
        <w:outlineLvl w:val="2"/>
        <w:rPr>
          <w:rFonts w:asciiTheme="minorHAnsi" w:eastAsia="Times New Roman" w:hAnsiTheme="minorHAnsi" w:cstheme="minorHAnsi"/>
          <w:b/>
          <w:bCs/>
          <w:caps/>
          <w:color w:val="000000"/>
          <w:lang w:eastAsia="it-IT"/>
        </w:rPr>
      </w:pPr>
    </w:p>
    <w:p w:rsidR="008B3F4B" w:rsidRPr="00C33C1E" w:rsidRDefault="008B3F4B" w:rsidP="008B3F4B">
      <w:pPr>
        <w:spacing w:after="225"/>
        <w:outlineLvl w:val="2"/>
        <w:rPr>
          <w:rFonts w:asciiTheme="minorHAnsi" w:eastAsia="Times New Roman" w:hAnsiTheme="minorHAnsi" w:cstheme="minorHAnsi"/>
          <w:b/>
          <w:bCs/>
          <w:caps/>
          <w:color w:val="000000"/>
          <w:lang w:eastAsia="it-IT"/>
        </w:rPr>
      </w:pPr>
    </w:p>
    <w:p w:rsidR="008B3F4B" w:rsidRPr="00C33C1E" w:rsidRDefault="008B3F4B" w:rsidP="008B3F4B">
      <w:pPr>
        <w:spacing w:after="225"/>
        <w:outlineLvl w:val="2"/>
        <w:rPr>
          <w:rFonts w:asciiTheme="minorHAnsi" w:eastAsia="Times New Roman" w:hAnsiTheme="minorHAnsi" w:cstheme="minorHAnsi"/>
          <w:b/>
          <w:bCs/>
          <w:caps/>
          <w:color w:val="000000"/>
          <w:lang w:eastAsia="it-IT"/>
        </w:rPr>
      </w:pPr>
    </w:p>
    <w:p w:rsidR="008B3F4B" w:rsidRPr="00C33C1E" w:rsidRDefault="008B3F4B" w:rsidP="008B3F4B">
      <w:pPr>
        <w:spacing w:after="225"/>
        <w:outlineLvl w:val="2"/>
        <w:rPr>
          <w:rFonts w:asciiTheme="minorHAnsi" w:eastAsia="Times New Roman" w:hAnsiTheme="minorHAnsi" w:cstheme="minorHAnsi"/>
          <w:b/>
          <w:bCs/>
          <w:caps/>
          <w:color w:val="000000"/>
          <w:lang w:eastAsia="it-IT"/>
        </w:rPr>
      </w:pPr>
    </w:p>
    <w:p w:rsidR="008B3F4B" w:rsidRPr="00C33C1E" w:rsidRDefault="008B3F4B" w:rsidP="008B3F4B">
      <w:pPr>
        <w:spacing w:after="225"/>
        <w:outlineLvl w:val="2"/>
        <w:rPr>
          <w:rFonts w:asciiTheme="minorHAnsi" w:eastAsia="Times New Roman" w:hAnsiTheme="minorHAnsi" w:cstheme="minorHAnsi"/>
          <w:b/>
          <w:bCs/>
          <w:caps/>
          <w:color w:val="000000"/>
          <w:lang w:eastAsia="it-IT"/>
        </w:rPr>
      </w:pPr>
    </w:p>
    <w:p w:rsidR="008B3F4B" w:rsidRPr="00C33C1E" w:rsidRDefault="008B3F4B" w:rsidP="008B3F4B">
      <w:pPr>
        <w:spacing w:after="225"/>
        <w:outlineLvl w:val="2"/>
        <w:rPr>
          <w:rFonts w:asciiTheme="minorHAnsi" w:eastAsia="Times New Roman" w:hAnsiTheme="minorHAnsi" w:cstheme="minorHAnsi"/>
          <w:b/>
          <w:bCs/>
          <w:caps/>
          <w:color w:val="000000"/>
          <w:lang w:eastAsia="it-IT"/>
        </w:rPr>
      </w:pPr>
    </w:p>
    <w:p w:rsidR="008B3F4B" w:rsidRPr="008B3F4B" w:rsidRDefault="008B3F4B" w:rsidP="008B3F4B">
      <w:pPr>
        <w:spacing w:after="265"/>
        <w:rPr>
          <w:rFonts w:asciiTheme="minorHAnsi" w:eastAsia="Times New Roman" w:hAnsiTheme="minorHAnsi" w:cstheme="minorHAnsi"/>
          <w:color w:val="3D3B39"/>
          <w:lang w:eastAsia="it-IT"/>
        </w:rPr>
      </w:pPr>
      <w:r w:rsidRPr="008B3F4B">
        <w:rPr>
          <w:rFonts w:asciiTheme="minorHAnsi" w:eastAsia="Times New Roman" w:hAnsiTheme="minorHAnsi" w:cstheme="minorHAnsi"/>
          <w:color w:val="3D3B39"/>
          <w:lang w:eastAsia="it-IT"/>
        </w:rPr>
        <w:t xml:space="preserve">Pubblicato il 24/05/2019 </w:t>
      </w:r>
      <w:r w:rsidRPr="008B3F4B">
        <w:rPr>
          <w:rFonts w:asciiTheme="minorHAnsi" w:eastAsia="Times New Roman" w:hAnsiTheme="minorHAnsi" w:cstheme="minorHAnsi"/>
          <w:color w:val="3D3B39"/>
          <w:lang w:eastAsia="it-IT"/>
        </w:rPr>
        <w:br/>
      </w:r>
      <w:r w:rsidRPr="008B3F4B">
        <w:rPr>
          <w:rFonts w:asciiTheme="minorHAnsi" w:eastAsia="Times New Roman" w:hAnsiTheme="minorHAnsi" w:cstheme="minorHAnsi"/>
          <w:b/>
          <w:bCs/>
          <w:color w:val="3D3B39"/>
          <w:lang w:eastAsia="it-IT"/>
        </w:rPr>
        <w:t>N. 06490/2019 REG.PROV.COLL.</w:t>
      </w:r>
      <w:r w:rsidRPr="008B3F4B">
        <w:rPr>
          <w:rFonts w:asciiTheme="minorHAnsi" w:eastAsia="Times New Roman" w:hAnsiTheme="minorHAnsi" w:cstheme="minorHAnsi"/>
          <w:color w:val="3D3B39"/>
          <w:lang w:eastAsia="it-IT"/>
        </w:rPr>
        <w:t xml:space="preserve"> </w:t>
      </w:r>
      <w:r w:rsidRPr="008B3F4B">
        <w:rPr>
          <w:rFonts w:asciiTheme="minorHAnsi" w:eastAsia="Times New Roman" w:hAnsiTheme="minorHAnsi" w:cstheme="minorHAnsi"/>
          <w:color w:val="3D3B39"/>
          <w:lang w:eastAsia="it-IT"/>
        </w:rPr>
        <w:br/>
      </w:r>
      <w:r w:rsidRPr="008B3F4B">
        <w:rPr>
          <w:rFonts w:asciiTheme="minorHAnsi" w:eastAsia="Times New Roman" w:hAnsiTheme="minorHAnsi" w:cstheme="minorHAnsi"/>
          <w:b/>
          <w:bCs/>
          <w:color w:val="3D3B39"/>
          <w:lang w:eastAsia="it-IT"/>
        </w:rPr>
        <w:t>N. 11377/2018 REG.RIC.</w:t>
      </w:r>
      <w:r w:rsidRPr="008B3F4B">
        <w:rPr>
          <w:rFonts w:asciiTheme="minorHAnsi" w:eastAsia="Times New Roman" w:hAnsiTheme="minorHAnsi" w:cstheme="minorHAnsi"/>
          <w:color w:val="3D3B39"/>
          <w:lang w:eastAsia="it-IT"/>
        </w:rPr>
        <w:t xml:space="preserve"> </w:t>
      </w:r>
    </w:p>
    <w:p w:rsidR="008B3F4B" w:rsidRPr="008B3F4B" w:rsidRDefault="008B3F4B" w:rsidP="008B3F4B">
      <w:pPr>
        <w:spacing w:after="265"/>
        <w:jc w:val="center"/>
        <w:rPr>
          <w:rFonts w:asciiTheme="minorHAnsi" w:eastAsia="Times New Roman" w:hAnsiTheme="minorHAnsi" w:cstheme="minorHAnsi"/>
          <w:color w:val="3D3B39"/>
          <w:lang w:eastAsia="it-IT"/>
        </w:rPr>
      </w:pPr>
      <w:r w:rsidRPr="008B3F4B">
        <w:rPr>
          <w:rFonts w:asciiTheme="minorHAnsi" w:eastAsia="Times New Roman" w:hAnsiTheme="minorHAnsi" w:cstheme="minorHAnsi"/>
          <w:b/>
          <w:bCs/>
          <w:color w:val="3D3B39"/>
          <w:lang w:eastAsia="it-IT"/>
        </w:rPr>
        <w:t>REPUBBLICA ITALIANA</w:t>
      </w:r>
      <w:r w:rsidRPr="008B3F4B">
        <w:rPr>
          <w:rFonts w:asciiTheme="minorHAnsi" w:eastAsia="Times New Roman" w:hAnsiTheme="minorHAnsi" w:cstheme="minorHAnsi"/>
          <w:color w:val="3D3B39"/>
          <w:lang w:eastAsia="it-IT"/>
        </w:rPr>
        <w:t xml:space="preserve"> </w:t>
      </w:r>
      <w:r w:rsidRPr="008B3F4B">
        <w:rPr>
          <w:rFonts w:asciiTheme="minorHAnsi" w:eastAsia="Times New Roman" w:hAnsiTheme="minorHAnsi" w:cstheme="minorHAnsi"/>
          <w:color w:val="3D3B39"/>
          <w:lang w:eastAsia="it-IT"/>
        </w:rPr>
        <w:br/>
      </w:r>
      <w:r w:rsidRPr="008B3F4B">
        <w:rPr>
          <w:rFonts w:asciiTheme="minorHAnsi" w:eastAsia="Times New Roman" w:hAnsiTheme="minorHAnsi" w:cstheme="minorHAnsi"/>
          <w:b/>
          <w:bCs/>
          <w:color w:val="3D3B39"/>
          <w:lang w:eastAsia="it-IT"/>
        </w:rPr>
        <w:t>IN NOME DEL POPOLO ITALIANO</w:t>
      </w:r>
      <w:r w:rsidRPr="008B3F4B">
        <w:rPr>
          <w:rFonts w:asciiTheme="minorHAnsi" w:eastAsia="Times New Roman" w:hAnsiTheme="minorHAnsi" w:cstheme="minorHAnsi"/>
          <w:color w:val="3D3B39"/>
          <w:lang w:eastAsia="it-IT"/>
        </w:rPr>
        <w:t xml:space="preserve"> </w:t>
      </w:r>
      <w:r w:rsidRPr="008B3F4B">
        <w:rPr>
          <w:rFonts w:asciiTheme="minorHAnsi" w:eastAsia="Times New Roman" w:hAnsiTheme="minorHAnsi" w:cstheme="minorHAnsi"/>
          <w:color w:val="3D3B39"/>
          <w:lang w:eastAsia="it-IT"/>
        </w:rPr>
        <w:br/>
      </w:r>
      <w:r w:rsidRPr="008B3F4B">
        <w:rPr>
          <w:rFonts w:asciiTheme="minorHAnsi" w:eastAsia="Times New Roman" w:hAnsiTheme="minorHAnsi" w:cstheme="minorHAnsi"/>
          <w:b/>
          <w:bCs/>
          <w:color w:val="3D3B39"/>
          <w:lang w:eastAsia="it-IT"/>
        </w:rPr>
        <w:t>Il Tribunale Amministrativo Regionale per il Lazio</w:t>
      </w:r>
      <w:r w:rsidRPr="008B3F4B">
        <w:rPr>
          <w:rFonts w:asciiTheme="minorHAnsi" w:eastAsia="Times New Roman" w:hAnsiTheme="minorHAnsi" w:cstheme="minorHAnsi"/>
          <w:color w:val="3D3B39"/>
          <w:lang w:eastAsia="it-IT"/>
        </w:rPr>
        <w:t xml:space="preserve"> </w:t>
      </w:r>
      <w:r w:rsidRPr="008B3F4B">
        <w:rPr>
          <w:rFonts w:asciiTheme="minorHAnsi" w:eastAsia="Times New Roman" w:hAnsiTheme="minorHAnsi" w:cstheme="minorHAnsi"/>
          <w:color w:val="3D3B39"/>
          <w:lang w:eastAsia="it-IT"/>
        </w:rPr>
        <w:br/>
      </w:r>
      <w:r w:rsidRPr="008B3F4B">
        <w:rPr>
          <w:rFonts w:asciiTheme="minorHAnsi" w:eastAsia="Times New Roman" w:hAnsiTheme="minorHAnsi" w:cstheme="minorHAnsi"/>
          <w:b/>
          <w:bCs/>
          <w:color w:val="3D3B39"/>
          <w:lang w:eastAsia="it-IT"/>
        </w:rPr>
        <w:t>(Sezione Terza Quater)</w:t>
      </w:r>
      <w:r w:rsidRPr="008B3F4B">
        <w:rPr>
          <w:rFonts w:asciiTheme="minorHAnsi" w:eastAsia="Times New Roman" w:hAnsiTheme="minorHAnsi" w:cstheme="minorHAnsi"/>
          <w:color w:val="3D3B39"/>
          <w:lang w:eastAsia="it-IT"/>
        </w:rPr>
        <w:t xml:space="preserve"> </w:t>
      </w:r>
      <w:r w:rsidRPr="008B3F4B">
        <w:rPr>
          <w:rFonts w:asciiTheme="minorHAnsi" w:eastAsia="Times New Roman" w:hAnsiTheme="minorHAnsi" w:cstheme="minorHAnsi"/>
          <w:color w:val="3D3B39"/>
          <w:lang w:eastAsia="it-IT"/>
        </w:rPr>
        <w:br/>
        <w:t>ha pronunciato la presente</w:t>
      </w:r>
    </w:p>
    <w:p w:rsidR="008B3F4B" w:rsidRPr="008B3F4B" w:rsidRDefault="008B3F4B" w:rsidP="008B3F4B">
      <w:pPr>
        <w:spacing w:after="265"/>
        <w:jc w:val="center"/>
        <w:rPr>
          <w:rFonts w:asciiTheme="minorHAnsi" w:eastAsia="Times New Roman" w:hAnsiTheme="minorHAnsi" w:cstheme="minorHAnsi"/>
          <w:color w:val="3D3B39"/>
          <w:lang w:eastAsia="it-IT"/>
        </w:rPr>
      </w:pPr>
      <w:r w:rsidRPr="008B3F4B">
        <w:rPr>
          <w:rFonts w:asciiTheme="minorHAnsi" w:eastAsia="Times New Roman" w:hAnsiTheme="minorHAnsi" w:cstheme="minorHAnsi"/>
          <w:b/>
          <w:bCs/>
          <w:color w:val="3D3B39"/>
          <w:lang w:eastAsia="it-IT"/>
        </w:rPr>
        <w:t>SENTENZA</w:t>
      </w:r>
      <w:r w:rsidRPr="008B3F4B">
        <w:rPr>
          <w:rFonts w:asciiTheme="minorHAnsi" w:eastAsia="Times New Roman" w:hAnsiTheme="minorHAnsi" w:cstheme="minorHAnsi"/>
          <w:color w:val="3D3B39"/>
          <w:lang w:eastAsia="it-IT"/>
        </w:rPr>
        <w:t xml:space="preserve"> </w:t>
      </w:r>
    </w:p>
    <w:p w:rsidR="008B3F4B" w:rsidRPr="008B3F4B" w:rsidRDefault="008B3F4B" w:rsidP="008B3F4B">
      <w:pPr>
        <w:spacing w:after="265"/>
        <w:rPr>
          <w:rFonts w:asciiTheme="minorHAnsi" w:eastAsia="Times New Roman" w:hAnsiTheme="minorHAnsi" w:cstheme="minorHAnsi"/>
          <w:color w:val="3D3B39"/>
          <w:lang w:eastAsia="it-IT"/>
        </w:rPr>
      </w:pPr>
      <w:r w:rsidRPr="008B3F4B">
        <w:rPr>
          <w:rFonts w:asciiTheme="minorHAnsi" w:eastAsia="Times New Roman" w:hAnsiTheme="minorHAnsi" w:cstheme="minorHAnsi"/>
          <w:color w:val="3D3B39"/>
          <w:lang w:eastAsia="it-IT"/>
        </w:rPr>
        <w:t>sul ricorso numero di registro generale 11377 del 2018, proposto da </w:t>
      </w:r>
      <w:r w:rsidRPr="008B3F4B">
        <w:rPr>
          <w:rFonts w:asciiTheme="minorHAnsi" w:eastAsia="Times New Roman" w:hAnsiTheme="minorHAnsi" w:cstheme="minorHAnsi"/>
          <w:color w:val="3D3B39"/>
          <w:lang w:eastAsia="it-IT"/>
        </w:rPr>
        <w:br/>
        <w:t xml:space="preserve">OMISSIS s.r.l., in persona del legale rappresentante pro tempore, rappresentata e difesa dall'avvocato OMISSIS;  </w:t>
      </w:r>
      <w:r w:rsidRPr="008B3F4B">
        <w:rPr>
          <w:rFonts w:asciiTheme="minorHAnsi" w:eastAsia="Times New Roman" w:hAnsiTheme="minorHAnsi" w:cstheme="minorHAnsi"/>
          <w:color w:val="3D3B39"/>
          <w:lang w:eastAsia="it-IT"/>
        </w:rPr>
        <w:br/>
      </w:r>
      <w:r w:rsidRPr="008B3F4B">
        <w:rPr>
          <w:rFonts w:asciiTheme="minorHAnsi" w:eastAsia="Times New Roman" w:hAnsiTheme="minorHAnsi" w:cstheme="minorHAnsi"/>
          <w:b/>
          <w:bCs/>
          <w:i/>
          <w:iCs/>
          <w:color w:val="3D3B39"/>
          <w:lang w:eastAsia="it-IT"/>
        </w:rPr>
        <w:t>contro</w:t>
      </w:r>
      <w:r w:rsidRPr="008B3F4B">
        <w:rPr>
          <w:rFonts w:asciiTheme="minorHAnsi" w:eastAsia="Times New Roman" w:hAnsiTheme="minorHAnsi" w:cstheme="minorHAnsi"/>
          <w:color w:val="3D3B39"/>
          <w:lang w:eastAsia="it-IT"/>
        </w:rPr>
        <w:t xml:space="preserve"> </w:t>
      </w:r>
      <w:r w:rsidRPr="008B3F4B">
        <w:rPr>
          <w:rFonts w:asciiTheme="minorHAnsi" w:eastAsia="Times New Roman" w:hAnsiTheme="minorHAnsi" w:cstheme="minorHAnsi"/>
          <w:color w:val="3D3B39"/>
          <w:lang w:eastAsia="it-IT"/>
        </w:rPr>
        <w:br/>
        <w:t xml:space="preserve">Azienda Unità sanitaria locale Roma 2, in persona del legale rappresentante pro tempore, rappresentata e difesa dagli avvocati OMISSIS;  </w:t>
      </w:r>
      <w:r w:rsidRPr="008B3F4B">
        <w:rPr>
          <w:rFonts w:asciiTheme="minorHAnsi" w:eastAsia="Times New Roman" w:hAnsiTheme="minorHAnsi" w:cstheme="minorHAnsi"/>
          <w:color w:val="3D3B39"/>
          <w:lang w:eastAsia="it-IT"/>
        </w:rPr>
        <w:br/>
      </w:r>
      <w:r w:rsidRPr="008B3F4B">
        <w:rPr>
          <w:rFonts w:asciiTheme="minorHAnsi" w:eastAsia="Times New Roman" w:hAnsiTheme="minorHAnsi" w:cstheme="minorHAnsi"/>
          <w:b/>
          <w:bCs/>
          <w:i/>
          <w:iCs/>
          <w:color w:val="3D3B39"/>
          <w:lang w:eastAsia="it-IT"/>
        </w:rPr>
        <w:t>nei confronti</w:t>
      </w:r>
      <w:r w:rsidRPr="008B3F4B">
        <w:rPr>
          <w:rFonts w:asciiTheme="minorHAnsi" w:eastAsia="Times New Roman" w:hAnsiTheme="minorHAnsi" w:cstheme="minorHAnsi"/>
          <w:color w:val="3D3B39"/>
          <w:lang w:eastAsia="it-IT"/>
        </w:rPr>
        <w:t xml:space="preserve"> </w:t>
      </w:r>
      <w:r w:rsidRPr="008B3F4B">
        <w:rPr>
          <w:rFonts w:asciiTheme="minorHAnsi" w:eastAsia="Times New Roman" w:hAnsiTheme="minorHAnsi" w:cstheme="minorHAnsi"/>
          <w:color w:val="3D3B39"/>
          <w:lang w:eastAsia="it-IT"/>
        </w:rPr>
        <w:br/>
        <w:t xml:space="preserve">OMISSIS </w:t>
      </w:r>
      <w:proofErr w:type="spellStart"/>
      <w:r w:rsidRPr="008B3F4B">
        <w:rPr>
          <w:rFonts w:asciiTheme="minorHAnsi" w:eastAsia="Times New Roman" w:hAnsiTheme="minorHAnsi" w:cstheme="minorHAnsi"/>
          <w:color w:val="3D3B39"/>
          <w:lang w:eastAsia="it-IT"/>
        </w:rPr>
        <w:t>s.p.a.</w:t>
      </w:r>
      <w:proofErr w:type="spellEnd"/>
      <w:r w:rsidRPr="008B3F4B">
        <w:rPr>
          <w:rFonts w:asciiTheme="minorHAnsi" w:eastAsia="Times New Roman" w:hAnsiTheme="minorHAnsi" w:cstheme="minorHAnsi"/>
          <w:color w:val="3D3B39"/>
          <w:lang w:eastAsia="it-IT"/>
        </w:rPr>
        <w:t xml:space="preserve">, in persona del legale rappresentante pro tempore, rappresentata e difesa dagli avvocati OMISSIS;  </w:t>
      </w:r>
      <w:r w:rsidRPr="008B3F4B">
        <w:rPr>
          <w:rFonts w:asciiTheme="minorHAnsi" w:eastAsia="Times New Roman" w:hAnsiTheme="minorHAnsi" w:cstheme="minorHAnsi"/>
          <w:color w:val="3D3B39"/>
          <w:lang w:eastAsia="it-IT"/>
        </w:rPr>
        <w:br/>
      </w:r>
      <w:r w:rsidRPr="008B3F4B">
        <w:rPr>
          <w:rFonts w:asciiTheme="minorHAnsi" w:eastAsia="Times New Roman" w:hAnsiTheme="minorHAnsi" w:cstheme="minorHAnsi"/>
          <w:b/>
          <w:bCs/>
          <w:i/>
          <w:iCs/>
          <w:color w:val="3D3B39"/>
          <w:lang w:eastAsia="it-IT"/>
        </w:rPr>
        <w:t>per l'annullamento</w:t>
      </w:r>
      <w:r w:rsidRPr="008B3F4B">
        <w:rPr>
          <w:rFonts w:asciiTheme="minorHAnsi" w:eastAsia="Times New Roman" w:hAnsiTheme="minorHAnsi" w:cstheme="minorHAnsi"/>
          <w:color w:val="3D3B39"/>
          <w:lang w:eastAsia="it-IT"/>
        </w:rPr>
        <w:t xml:space="preserve"> </w:t>
      </w:r>
      <w:r w:rsidRPr="008B3F4B">
        <w:rPr>
          <w:rFonts w:asciiTheme="minorHAnsi" w:eastAsia="Times New Roman" w:hAnsiTheme="minorHAnsi" w:cstheme="minorHAnsi"/>
          <w:color w:val="3D3B39"/>
          <w:lang w:eastAsia="it-IT"/>
        </w:rPr>
        <w:br/>
        <w:t xml:space="preserve">di tutti gli atti della Azienda Unità Sanitaria Locale Roma 2 inerenti la procedura aperta, ai sensi dell'art. 60 del d.lgs. 50/2016, per l'affidamento annuale (con eventuale rinnovo per ulteriori sei mesi) del servizio di vigilanza armata, sicurezza, custodia, sorveglianza e fornitura di impianti tecnologici presso le strutture territoriali, presidi e sedi dell'azienda A.U.S.L. Roma 2 (ex Roma C) con importo annuale a base d’asta pari ad € 3.832.216,50 - (IVA esclusa), tra i quali: </w:t>
      </w:r>
      <w:r w:rsidRPr="008B3F4B">
        <w:rPr>
          <w:rFonts w:asciiTheme="minorHAnsi" w:eastAsia="Times New Roman" w:hAnsiTheme="minorHAnsi" w:cstheme="minorHAnsi"/>
          <w:color w:val="3D3B39"/>
          <w:lang w:eastAsia="it-IT"/>
        </w:rPr>
        <w:br/>
        <w:t xml:space="preserve">- la deliberazione n. 972/CS del 18/07/2016 e successive delibere di rettifica n. 1450/CS del 18/10/2016 e n. 25 del 19/12/2016 con le quali è stata indetta la procedura; </w:t>
      </w:r>
      <w:r w:rsidRPr="008B3F4B">
        <w:rPr>
          <w:rFonts w:asciiTheme="minorHAnsi" w:eastAsia="Times New Roman" w:hAnsiTheme="minorHAnsi" w:cstheme="minorHAnsi"/>
          <w:color w:val="3D3B39"/>
          <w:lang w:eastAsia="it-IT"/>
        </w:rPr>
        <w:br/>
        <w:t xml:space="preserve">- il Bando di gara pubblicato il 25.8.2016; </w:t>
      </w:r>
      <w:r w:rsidRPr="008B3F4B">
        <w:rPr>
          <w:rFonts w:asciiTheme="minorHAnsi" w:eastAsia="Times New Roman" w:hAnsiTheme="minorHAnsi" w:cstheme="minorHAnsi"/>
          <w:color w:val="3D3B39"/>
          <w:lang w:eastAsia="it-IT"/>
        </w:rPr>
        <w:br/>
        <w:t xml:space="preserve">- il Disciplinare di Gara; </w:t>
      </w:r>
      <w:r w:rsidRPr="008B3F4B">
        <w:rPr>
          <w:rFonts w:asciiTheme="minorHAnsi" w:eastAsia="Times New Roman" w:hAnsiTheme="minorHAnsi" w:cstheme="minorHAnsi"/>
          <w:color w:val="3D3B39"/>
          <w:lang w:eastAsia="it-IT"/>
        </w:rPr>
        <w:br/>
        <w:t xml:space="preserve">- il Capitolato Tecnico; </w:t>
      </w:r>
      <w:r w:rsidRPr="008B3F4B">
        <w:rPr>
          <w:rFonts w:asciiTheme="minorHAnsi" w:eastAsia="Times New Roman" w:hAnsiTheme="minorHAnsi" w:cstheme="minorHAnsi"/>
          <w:color w:val="3D3B39"/>
          <w:lang w:eastAsia="it-IT"/>
        </w:rPr>
        <w:br/>
        <w:t xml:space="preserve">- la deliberazione n. 855 dei 03/05/2017 che ha nominato i componenti del Seggio di gara e della Commissione giudicatrice ex art. 77 del d.lgs. 50/2016 e </w:t>
      </w:r>
      <w:proofErr w:type="spellStart"/>
      <w:r w:rsidRPr="008B3F4B">
        <w:rPr>
          <w:rFonts w:asciiTheme="minorHAnsi" w:eastAsia="Times New Roman" w:hAnsiTheme="minorHAnsi" w:cstheme="minorHAnsi"/>
          <w:color w:val="3D3B39"/>
          <w:lang w:eastAsia="it-IT"/>
        </w:rPr>
        <w:t>s.m.i.</w:t>
      </w:r>
      <w:proofErr w:type="spellEnd"/>
      <w:r w:rsidRPr="008B3F4B">
        <w:rPr>
          <w:rFonts w:asciiTheme="minorHAnsi" w:eastAsia="Times New Roman" w:hAnsiTheme="minorHAnsi" w:cstheme="minorHAnsi"/>
          <w:color w:val="3D3B39"/>
          <w:lang w:eastAsia="it-IT"/>
        </w:rPr>
        <w:t xml:space="preserve"> ai fini della valutazione, rispettivamente, della documentazione amministrativa e delle offerte tecniche ed economiche ricevute, secondo il criterio dell’offerta economicamente più vantaggiosa ex art. 95, comma 2, del Codice; i verbali relativi alle sedute pubbliche del Seggio di gara, svoltesi in data 14/06/2017, 15/06/2017 e 28/08/2017; </w:t>
      </w:r>
      <w:r w:rsidRPr="008B3F4B">
        <w:rPr>
          <w:rFonts w:asciiTheme="minorHAnsi" w:eastAsia="Times New Roman" w:hAnsiTheme="minorHAnsi" w:cstheme="minorHAnsi"/>
          <w:color w:val="3D3B39"/>
          <w:lang w:eastAsia="it-IT"/>
        </w:rPr>
        <w:br/>
        <w:t xml:space="preserve">- la determinazione dirigenziale n. 1075 dell’08/09/2017 che ha disposto l’ammissione, alle successive fasi di gara delle ditte in possesso dei requisiti di ordine generale comprovati dalla documentazione amministrativa presentata a corredo dell’offerta; </w:t>
      </w:r>
      <w:r w:rsidRPr="008B3F4B">
        <w:rPr>
          <w:rFonts w:asciiTheme="minorHAnsi" w:eastAsia="Times New Roman" w:hAnsiTheme="minorHAnsi" w:cstheme="minorHAnsi"/>
          <w:color w:val="3D3B39"/>
          <w:lang w:eastAsia="it-IT"/>
        </w:rPr>
        <w:br/>
        <w:t xml:space="preserve">- i verbali dal n. 1 al n. 13 della Commissione giudicatrice e le relative valutazioni delle offerte tecniche; </w:t>
      </w:r>
      <w:r w:rsidRPr="008B3F4B">
        <w:rPr>
          <w:rFonts w:asciiTheme="minorHAnsi" w:eastAsia="Times New Roman" w:hAnsiTheme="minorHAnsi" w:cstheme="minorHAnsi"/>
          <w:color w:val="3D3B39"/>
          <w:lang w:eastAsia="it-IT"/>
        </w:rPr>
        <w:br/>
        <w:t xml:space="preserve">- la delibera n. 1619 del 30.8.2018, con la quale è stato disposto l’affidamento annuale (con eventuale rinnovo per ulteriori sei mesi) del servizio di vigilanza armata, sicurezza, custodia, sorveglianza e fornitura di impianti tecnologici presso le strutture territoriali, presidi e sedi dell’A.U.S.L. Roma 2 (ex Roma C), in favore della società OMISSIS </w:t>
      </w:r>
      <w:proofErr w:type="spellStart"/>
      <w:r w:rsidRPr="008B3F4B">
        <w:rPr>
          <w:rFonts w:asciiTheme="minorHAnsi" w:eastAsia="Times New Roman" w:hAnsiTheme="minorHAnsi" w:cstheme="minorHAnsi"/>
          <w:color w:val="3D3B39"/>
          <w:lang w:eastAsia="it-IT"/>
        </w:rPr>
        <w:t>s.p.a.</w:t>
      </w:r>
      <w:proofErr w:type="spellEnd"/>
      <w:r w:rsidRPr="008B3F4B">
        <w:rPr>
          <w:rFonts w:asciiTheme="minorHAnsi" w:eastAsia="Times New Roman" w:hAnsiTheme="minorHAnsi" w:cstheme="minorHAnsi"/>
          <w:color w:val="3D3B39"/>
          <w:lang w:eastAsia="it-IT"/>
        </w:rPr>
        <w:t xml:space="preserve">; </w:t>
      </w:r>
    </w:p>
    <w:p w:rsidR="008B3F4B" w:rsidRPr="008B3F4B" w:rsidRDefault="008B3F4B" w:rsidP="008B3F4B">
      <w:pPr>
        <w:spacing w:after="265"/>
        <w:rPr>
          <w:rFonts w:asciiTheme="minorHAnsi" w:eastAsia="Times New Roman" w:hAnsiTheme="minorHAnsi" w:cstheme="minorHAnsi"/>
          <w:color w:val="3D3B39"/>
          <w:lang w:eastAsia="it-IT"/>
        </w:rPr>
      </w:pPr>
      <w:r w:rsidRPr="008B3F4B">
        <w:rPr>
          <w:rFonts w:asciiTheme="minorHAnsi" w:eastAsia="Times New Roman" w:hAnsiTheme="minorHAnsi" w:cstheme="minorHAnsi"/>
          <w:color w:val="3D3B39"/>
          <w:lang w:eastAsia="it-IT"/>
        </w:rPr>
        <w:t xml:space="preserve">Visti il ricorso e i relativi allegati; </w:t>
      </w:r>
      <w:r w:rsidRPr="008B3F4B">
        <w:rPr>
          <w:rFonts w:asciiTheme="minorHAnsi" w:eastAsia="Times New Roman" w:hAnsiTheme="minorHAnsi" w:cstheme="minorHAnsi"/>
          <w:color w:val="3D3B39"/>
          <w:lang w:eastAsia="it-IT"/>
        </w:rPr>
        <w:br/>
        <w:t xml:space="preserve">Visti gli atti di costituzione in giudizio dell’Azienda Unità Sanitaria Locale Roma 2 e della società OMISSIS </w:t>
      </w:r>
      <w:proofErr w:type="spellStart"/>
      <w:r w:rsidRPr="008B3F4B">
        <w:rPr>
          <w:rFonts w:asciiTheme="minorHAnsi" w:eastAsia="Times New Roman" w:hAnsiTheme="minorHAnsi" w:cstheme="minorHAnsi"/>
          <w:color w:val="3D3B39"/>
          <w:lang w:eastAsia="it-IT"/>
        </w:rPr>
        <w:t>s.p.a.</w:t>
      </w:r>
      <w:proofErr w:type="spellEnd"/>
      <w:r w:rsidRPr="008B3F4B">
        <w:rPr>
          <w:rFonts w:asciiTheme="minorHAnsi" w:eastAsia="Times New Roman" w:hAnsiTheme="minorHAnsi" w:cstheme="minorHAnsi"/>
          <w:color w:val="3D3B39"/>
          <w:lang w:eastAsia="it-IT"/>
        </w:rPr>
        <w:t xml:space="preserve">; </w:t>
      </w:r>
      <w:r w:rsidRPr="008B3F4B">
        <w:rPr>
          <w:rFonts w:asciiTheme="minorHAnsi" w:eastAsia="Times New Roman" w:hAnsiTheme="minorHAnsi" w:cstheme="minorHAnsi"/>
          <w:color w:val="3D3B39"/>
          <w:lang w:eastAsia="it-IT"/>
        </w:rPr>
        <w:br/>
        <w:t xml:space="preserve">Visti tutti gli atti della causa; </w:t>
      </w:r>
      <w:r w:rsidRPr="008B3F4B">
        <w:rPr>
          <w:rFonts w:asciiTheme="minorHAnsi" w:eastAsia="Times New Roman" w:hAnsiTheme="minorHAnsi" w:cstheme="minorHAnsi"/>
          <w:color w:val="3D3B39"/>
          <w:lang w:eastAsia="it-IT"/>
        </w:rPr>
        <w:br/>
        <w:t xml:space="preserve">Visti gli artt. 74 e 120, co. 10, cod. </w:t>
      </w:r>
      <w:proofErr w:type="spellStart"/>
      <w:r w:rsidRPr="008B3F4B">
        <w:rPr>
          <w:rFonts w:asciiTheme="minorHAnsi" w:eastAsia="Times New Roman" w:hAnsiTheme="minorHAnsi" w:cstheme="minorHAnsi"/>
          <w:color w:val="3D3B39"/>
          <w:lang w:eastAsia="it-IT"/>
        </w:rPr>
        <w:t>proc</w:t>
      </w:r>
      <w:proofErr w:type="spellEnd"/>
      <w:r w:rsidRPr="008B3F4B">
        <w:rPr>
          <w:rFonts w:asciiTheme="minorHAnsi" w:eastAsia="Times New Roman" w:hAnsiTheme="minorHAnsi" w:cstheme="minorHAnsi"/>
          <w:color w:val="3D3B39"/>
          <w:lang w:eastAsia="it-IT"/>
        </w:rPr>
        <w:t xml:space="preserve">. </w:t>
      </w:r>
      <w:proofErr w:type="spellStart"/>
      <w:r w:rsidRPr="008B3F4B">
        <w:rPr>
          <w:rFonts w:asciiTheme="minorHAnsi" w:eastAsia="Times New Roman" w:hAnsiTheme="minorHAnsi" w:cstheme="minorHAnsi"/>
          <w:color w:val="3D3B39"/>
          <w:lang w:eastAsia="it-IT"/>
        </w:rPr>
        <w:t>amm</w:t>
      </w:r>
      <w:proofErr w:type="spellEnd"/>
      <w:r w:rsidRPr="008B3F4B">
        <w:rPr>
          <w:rFonts w:asciiTheme="minorHAnsi" w:eastAsia="Times New Roman" w:hAnsiTheme="minorHAnsi" w:cstheme="minorHAnsi"/>
          <w:color w:val="3D3B39"/>
          <w:lang w:eastAsia="it-IT"/>
        </w:rPr>
        <w:t xml:space="preserve">.; </w:t>
      </w:r>
      <w:r w:rsidRPr="008B3F4B">
        <w:rPr>
          <w:rFonts w:asciiTheme="minorHAnsi" w:eastAsia="Times New Roman" w:hAnsiTheme="minorHAnsi" w:cstheme="minorHAnsi"/>
          <w:color w:val="3D3B39"/>
          <w:lang w:eastAsia="it-IT"/>
        </w:rPr>
        <w:br/>
      </w:r>
      <w:r w:rsidRPr="008B3F4B">
        <w:rPr>
          <w:rFonts w:asciiTheme="minorHAnsi" w:eastAsia="Times New Roman" w:hAnsiTheme="minorHAnsi" w:cstheme="minorHAnsi"/>
          <w:color w:val="3D3B39"/>
          <w:lang w:eastAsia="it-IT"/>
        </w:rPr>
        <w:lastRenderedPageBreak/>
        <w:t xml:space="preserve">Relatore nell'udienza pubblica del giorno 26 marzo 2019 il dott. Paolo Marotta e uditi per le parti i difensori come specificato nel verbale; </w:t>
      </w:r>
      <w:r w:rsidRPr="008B3F4B">
        <w:rPr>
          <w:rFonts w:asciiTheme="minorHAnsi" w:eastAsia="Times New Roman" w:hAnsiTheme="minorHAnsi" w:cstheme="minorHAnsi"/>
          <w:color w:val="3D3B39"/>
          <w:lang w:eastAsia="it-IT"/>
        </w:rPr>
        <w:br/>
        <w:t xml:space="preserve">Ritenuto e considerato in fatto e diritto quanto segue. </w:t>
      </w:r>
    </w:p>
    <w:p w:rsidR="008B3F4B" w:rsidRPr="008B3F4B" w:rsidRDefault="008B3F4B" w:rsidP="008B3F4B">
      <w:pPr>
        <w:spacing w:after="265"/>
        <w:jc w:val="center"/>
        <w:rPr>
          <w:rFonts w:asciiTheme="minorHAnsi" w:eastAsia="Times New Roman" w:hAnsiTheme="minorHAnsi" w:cstheme="minorHAnsi"/>
          <w:color w:val="3D3B39"/>
          <w:lang w:eastAsia="it-IT"/>
        </w:rPr>
      </w:pPr>
      <w:r w:rsidRPr="008B3F4B">
        <w:rPr>
          <w:rFonts w:asciiTheme="minorHAnsi" w:eastAsia="Times New Roman" w:hAnsiTheme="minorHAnsi" w:cstheme="minorHAnsi"/>
          <w:b/>
          <w:bCs/>
          <w:color w:val="3D3B39"/>
          <w:lang w:eastAsia="it-IT"/>
        </w:rPr>
        <w:t>FATTO e DIRITTO</w:t>
      </w:r>
    </w:p>
    <w:p w:rsidR="008B3F4B" w:rsidRPr="008B3F4B" w:rsidRDefault="008B3F4B" w:rsidP="008B3F4B">
      <w:pPr>
        <w:spacing w:after="265"/>
        <w:rPr>
          <w:rFonts w:asciiTheme="minorHAnsi" w:eastAsia="Times New Roman" w:hAnsiTheme="minorHAnsi" w:cstheme="minorHAnsi"/>
          <w:color w:val="3D3B39"/>
          <w:lang w:eastAsia="it-IT"/>
        </w:rPr>
      </w:pPr>
      <w:r w:rsidRPr="008B3F4B">
        <w:rPr>
          <w:rFonts w:asciiTheme="minorHAnsi" w:eastAsia="Times New Roman" w:hAnsiTheme="minorHAnsi" w:cstheme="minorHAnsi"/>
          <w:color w:val="3D3B39"/>
          <w:lang w:eastAsia="it-IT"/>
        </w:rPr>
        <w:t xml:space="preserve">La società ricorrente ha partecipato, quale mandataria di un costituendo R.T.I. con le società OMISSIS </w:t>
      </w:r>
      <w:proofErr w:type="spellStart"/>
      <w:r w:rsidRPr="008B3F4B">
        <w:rPr>
          <w:rFonts w:asciiTheme="minorHAnsi" w:eastAsia="Times New Roman" w:hAnsiTheme="minorHAnsi" w:cstheme="minorHAnsi"/>
          <w:color w:val="3D3B39"/>
          <w:lang w:eastAsia="it-IT"/>
        </w:rPr>
        <w:t>s.p.a.</w:t>
      </w:r>
      <w:proofErr w:type="spellEnd"/>
      <w:r w:rsidRPr="008B3F4B">
        <w:rPr>
          <w:rFonts w:asciiTheme="minorHAnsi" w:eastAsia="Times New Roman" w:hAnsiTheme="minorHAnsi" w:cstheme="minorHAnsi"/>
          <w:color w:val="3D3B39"/>
          <w:lang w:eastAsia="it-IT"/>
        </w:rPr>
        <w:t xml:space="preserve"> e OMISSIS </w:t>
      </w:r>
      <w:proofErr w:type="spellStart"/>
      <w:r w:rsidRPr="008B3F4B">
        <w:rPr>
          <w:rFonts w:asciiTheme="minorHAnsi" w:eastAsia="Times New Roman" w:hAnsiTheme="minorHAnsi" w:cstheme="minorHAnsi"/>
          <w:color w:val="3D3B39"/>
          <w:lang w:eastAsia="it-IT"/>
        </w:rPr>
        <w:t>s.p.a.</w:t>
      </w:r>
      <w:proofErr w:type="spellEnd"/>
      <w:r w:rsidRPr="008B3F4B">
        <w:rPr>
          <w:rFonts w:asciiTheme="minorHAnsi" w:eastAsia="Times New Roman" w:hAnsiTheme="minorHAnsi" w:cstheme="minorHAnsi"/>
          <w:color w:val="3D3B39"/>
          <w:lang w:eastAsia="it-IT"/>
        </w:rPr>
        <w:t xml:space="preserve">, ad una procedura aperta di gara indetta dalla Azienda Unità Sanitaria Locale Roma 2, ai sensi dell’art. 60 del d.lgs. 50/2016, per l'affidamento annuale (con eventuale rinnovo per ulteriori sei mesi) del servizio di vigilanza armata, sicurezza, custodia, sorveglianza e fornitura di impianti tecnologici presso le strutture territoriali, presidi e sedi dell'azienda A.U.S.L. Roma 2 (ex Roma C), lotto n.1, con importo annuale a base d’asta pari ad € 3.832.216,50, IVA esclusa, da aggiudicarsi secondo il criterio dell’offerta economicamente più vantaggiosa. </w:t>
      </w:r>
      <w:r w:rsidRPr="008B3F4B">
        <w:rPr>
          <w:rFonts w:asciiTheme="minorHAnsi" w:eastAsia="Times New Roman" w:hAnsiTheme="minorHAnsi" w:cstheme="minorHAnsi"/>
          <w:color w:val="3D3B39"/>
          <w:lang w:eastAsia="it-IT"/>
        </w:rPr>
        <w:br/>
        <w:t xml:space="preserve">In esito alle operazioni di gara, il raggruppamento della ricorrente (che al momento della indizione della gara gestiva i servizi di vigilanza armata presso le strutture territoriali, presidi e sedi della A.U.S.L. Roma 2, già ASL Roma C) si è classificato all’undicesimo ed ultimo posto della graduatoria di merito, con punteggio di 80,78, di cui punti 31,48 per l’offerta economica e punti 49,30 per l’offerta tecnica (la gara è stata aggiudicata alla società OMISSIS </w:t>
      </w:r>
      <w:proofErr w:type="spellStart"/>
      <w:r w:rsidRPr="008B3F4B">
        <w:rPr>
          <w:rFonts w:asciiTheme="minorHAnsi" w:eastAsia="Times New Roman" w:hAnsiTheme="minorHAnsi" w:cstheme="minorHAnsi"/>
          <w:color w:val="3D3B39"/>
          <w:lang w:eastAsia="it-IT"/>
        </w:rPr>
        <w:t>s.p.a.</w:t>
      </w:r>
      <w:proofErr w:type="spellEnd"/>
      <w:r w:rsidRPr="008B3F4B">
        <w:rPr>
          <w:rFonts w:asciiTheme="minorHAnsi" w:eastAsia="Times New Roman" w:hAnsiTheme="minorHAnsi" w:cstheme="minorHAnsi"/>
          <w:color w:val="3D3B39"/>
          <w:lang w:eastAsia="it-IT"/>
        </w:rPr>
        <w:t xml:space="preserve">, con punteggio di 93,35, di cui punti 35,85 per l’offerta economica e punti 57,50 per l’offerta tecnica). </w:t>
      </w:r>
      <w:r w:rsidRPr="008B3F4B">
        <w:rPr>
          <w:rFonts w:asciiTheme="minorHAnsi" w:eastAsia="Times New Roman" w:hAnsiTheme="minorHAnsi" w:cstheme="minorHAnsi"/>
          <w:color w:val="3D3B39"/>
          <w:lang w:eastAsia="it-IT"/>
        </w:rPr>
        <w:br/>
        <w:t xml:space="preserve">Con ricorso notificato in data 5 ottobre 2018 e depositato il 12 ottobre successivo, la ricorrente ha impugnato gli atti indicati in epigrafe, contestandone la legittimità con sette articolati motivi. </w:t>
      </w:r>
      <w:r w:rsidRPr="008B3F4B">
        <w:rPr>
          <w:rFonts w:asciiTheme="minorHAnsi" w:eastAsia="Times New Roman" w:hAnsiTheme="minorHAnsi" w:cstheme="minorHAnsi"/>
          <w:color w:val="3D3B39"/>
          <w:lang w:eastAsia="it-IT"/>
        </w:rPr>
        <w:br/>
        <w:t xml:space="preserve">Si è costituita in giudizio l’Azienda Unità Sanitaria Locale Roma 2, eccependo in via preliminare l’irricevibilità, per tardività, della impugnativa degli atti della </w:t>
      </w:r>
      <w:proofErr w:type="spellStart"/>
      <w:r w:rsidRPr="008B3F4B">
        <w:rPr>
          <w:rFonts w:asciiTheme="minorHAnsi" w:eastAsia="Times New Roman" w:hAnsiTheme="minorHAnsi" w:cstheme="minorHAnsi"/>
          <w:color w:val="3D3B39"/>
          <w:lang w:eastAsia="it-IT"/>
        </w:rPr>
        <w:t>lex</w:t>
      </w:r>
      <w:proofErr w:type="spellEnd"/>
      <w:r w:rsidRPr="008B3F4B">
        <w:rPr>
          <w:rFonts w:asciiTheme="minorHAnsi" w:eastAsia="Times New Roman" w:hAnsiTheme="minorHAnsi" w:cstheme="minorHAnsi"/>
          <w:color w:val="3D3B39"/>
          <w:lang w:eastAsia="it-IT"/>
        </w:rPr>
        <w:t xml:space="preserve"> </w:t>
      </w:r>
      <w:proofErr w:type="spellStart"/>
      <w:r w:rsidRPr="008B3F4B">
        <w:rPr>
          <w:rFonts w:asciiTheme="minorHAnsi" w:eastAsia="Times New Roman" w:hAnsiTheme="minorHAnsi" w:cstheme="minorHAnsi"/>
          <w:color w:val="3D3B39"/>
          <w:lang w:eastAsia="it-IT"/>
        </w:rPr>
        <w:t>specialis</w:t>
      </w:r>
      <w:proofErr w:type="spellEnd"/>
      <w:r w:rsidRPr="008B3F4B">
        <w:rPr>
          <w:rFonts w:asciiTheme="minorHAnsi" w:eastAsia="Times New Roman" w:hAnsiTheme="minorHAnsi" w:cstheme="minorHAnsi"/>
          <w:color w:val="3D3B39"/>
          <w:lang w:eastAsia="it-IT"/>
        </w:rPr>
        <w:t xml:space="preserve">, e contestando nel merito la fondatezza delle dedotte censure. </w:t>
      </w:r>
      <w:r w:rsidRPr="008B3F4B">
        <w:rPr>
          <w:rFonts w:asciiTheme="minorHAnsi" w:eastAsia="Times New Roman" w:hAnsiTheme="minorHAnsi" w:cstheme="minorHAnsi"/>
          <w:color w:val="3D3B39"/>
          <w:lang w:eastAsia="it-IT"/>
        </w:rPr>
        <w:br/>
        <w:t xml:space="preserve">Si è costituita anche la società aggiudicataria, OMISSIS </w:t>
      </w:r>
      <w:proofErr w:type="spellStart"/>
      <w:r w:rsidRPr="008B3F4B">
        <w:rPr>
          <w:rFonts w:asciiTheme="minorHAnsi" w:eastAsia="Times New Roman" w:hAnsiTheme="minorHAnsi" w:cstheme="minorHAnsi"/>
          <w:color w:val="3D3B39"/>
          <w:lang w:eastAsia="it-IT"/>
        </w:rPr>
        <w:t>s.p.a.</w:t>
      </w:r>
      <w:proofErr w:type="spellEnd"/>
      <w:r w:rsidRPr="008B3F4B">
        <w:rPr>
          <w:rFonts w:asciiTheme="minorHAnsi" w:eastAsia="Times New Roman" w:hAnsiTheme="minorHAnsi" w:cstheme="minorHAnsi"/>
          <w:color w:val="3D3B39"/>
          <w:lang w:eastAsia="it-IT"/>
        </w:rPr>
        <w:t xml:space="preserve">, eccependo l’inammissibilità di alcuni dei motivi di gravame e chiedendo comunque la reiezione del ricorso in ragione della sua infondatezza. </w:t>
      </w:r>
      <w:r w:rsidRPr="008B3F4B">
        <w:rPr>
          <w:rFonts w:asciiTheme="minorHAnsi" w:eastAsia="Times New Roman" w:hAnsiTheme="minorHAnsi" w:cstheme="minorHAnsi"/>
          <w:color w:val="3D3B39"/>
          <w:lang w:eastAsia="it-IT"/>
        </w:rPr>
        <w:br/>
        <w:t xml:space="preserve">Con ordinanza n. 6550/2018 è stata respinta l’istanza cautelare presentata in via incidentale dalla parte ricorrente. </w:t>
      </w:r>
      <w:r w:rsidRPr="008B3F4B">
        <w:rPr>
          <w:rFonts w:asciiTheme="minorHAnsi" w:eastAsia="Times New Roman" w:hAnsiTheme="minorHAnsi" w:cstheme="minorHAnsi"/>
          <w:color w:val="3D3B39"/>
          <w:lang w:eastAsia="it-IT"/>
        </w:rPr>
        <w:br/>
        <w:t xml:space="preserve">Con memorie difensive e di replica, le parti costituite hanno avuto modo di rappresentare compiutamente le rispettive tesi difensive. </w:t>
      </w:r>
      <w:r w:rsidRPr="008B3F4B">
        <w:rPr>
          <w:rFonts w:asciiTheme="minorHAnsi" w:eastAsia="Times New Roman" w:hAnsiTheme="minorHAnsi" w:cstheme="minorHAnsi"/>
          <w:color w:val="3D3B39"/>
          <w:lang w:eastAsia="it-IT"/>
        </w:rPr>
        <w:br/>
        <w:t xml:space="preserve">All’udienza pubblica del 26 marzo 2019, su richiesta delle parti, il ricorso è stato trattenuto in decisione. </w:t>
      </w:r>
      <w:r w:rsidRPr="008B3F4B">
        <w:rPr>
          <w:rFonts w:asciiTheme="minorHAnsi" w:eastAsia="Times New Roman" w:hAnsiTheme="minorHAnsi" w:cstheme="minorHAnsi"/>
          <w:color w:val="3D3B39"/>
          <w:lang w:eastAsia="it-IT"/>
        </w:rPr>
        <w:br/>
        <w:t xml:space="preserve">Ritiene il Collegio di poter prescindere dall’esame delle eccezioni di rito sollevate dall’Amministrazione resistente e dalla </w:t>
      </w:r>
      <w:proofErr w:type="spellStart"/>
      <w:r w:rsidRPr="008B3F4B">
        <w:rPr>
          <w:rFonts w:asciiTheme="minorHAnsi" w:eastAsia="Times New Roman" w:hAnsiTheme="minorHAnsi" w:cstheme="minorHAnsi"/>
          <w:color w:val="3D3B39"/>
          <w:lang w:eastAsia="it-IT"/>
        </w:rPr>
        <w:t>controinteressata</w:t>
      </w:r>
      <w:proofErr w:type="spellEnd"/>
      <w:r w:rsidRPr="008B3F4B">
        <w:rPr>
          <w:rFonts w:asciiTheme="minorHAnsi" w:eastAsia="Times New Roman" w:hAnsiTheme="minorHAnsi" w:cstheme="minorHAnsi"/>
          <w:color w:val="3D3B39"/>
          <w:lang w:eastAsia="it-IT"/>
        </w:rPr>
        <w:t xml:space="preserve">, essendo il ricorso infondato nel merito. </w:t>
      </w:r>
      <w:r w:rsidRPr="008B3F4B">
        <w:rPr>
          <w:rFonts w:asciiTheme="minorHAnsi" w:eastAsia="Times New Roman" w:hAnsiTheme="minorHAnsi" w:cstheme="minorHAnsi"/>
          <w:color w:val="3D3B39"/>
          <w:lang w:eastAsia="it-IT"/>
        </w:rPr>
        <w:br/>
        <w:t xml:space="preserve">Con il primo motivo la ricorrente deduce: Violazione e falsa applicazione dell’art. 77 del d.lgs. n. 50/2016. Eccesso di potere per illogicità, errata valutazione di presupposti, contraddittorietà, omessa istruttoria, difetto di motivazione. </w:t>
      </w:r>
      <w:r w:rsidRPr="008B3F4B">
        <w:rPr>
          <w:rFonts w:asciiTheme="minorHAnsi" w:eastAsia="Times New Roman" w:hAnsiTheme="minorHAnsi" w:cstheme="minorHAnsi"/>
          <w:color w:val="3D3B39"/>
          <w:lang w:eastAsia="it-IT"/>
        </w:rPr>
        <w:br/>
        <w:t xml:space="preserve">In estrema sintesi, la ricorrente sostiene che la Commissione di gara non aveva le competenze necessarie per valutare le offerte presentate dai concorrenti, in ragione della mancanza di esperienza nello specifico settore di servizi di vigilanza armata, che richiede l’autorizzazione prefettizia in favore dell’istituto di vigilanza e viene svolto da guardie particolari giurate dotate anch’esse di licenza prefettizia. </w:t>
      </w:r>
      <w:r w:rsidRPr="008B3F4B">
        <w:rPr>
          <w:rFonts w:asciiTheme="minorHAnsi" w:eastAsia="Times New Roman" w:hAnsiTheme="minorHAnsi" w:cstheme="minorHAnsi"/>
          <w:color w:val="3D3B39"/>
          <w:lang w:eastAsia="it-IT"/>
        </w:rPr>
        <w:br/>
        <w:t xml:space="preserve">Evidenzia inoltre che l’art. 77, comma 3, del codice degli appalti prevede che i componenti della Commissione giudicatrice siano esterni alla stazione appaltante e vengano scelti tra gli esperti iscritti all’Albo istituito presso l’ANAC, individuati mediante pubblico sorteggio da una lista di candidati comunicata dalla stessa ANAC e che il comma 12 del medesimo articolo prevede che fino alla istituzione dell’Albo presso l’ANAC la Commissione continua ad essere nominata dal competente organo della stazione appaltante “secondo regole di competenza e trasparenza preventivamente individuate da ciascuna stazione appaltante”. </w:t>
      </w:r>
      <w:r w:rsidRPr="008B3F4B">
        <w:rPr>
          <w:rFonts w:asciiTheme="minorHAnsi" w:eastAsia="Times New Roman" w:hAnsiTheme="minorHAnsi" w:cstheme="minorHAnsi"/>
          <w:color w:val="3D3B39"/>
          <w:lang w:eastAsia="it-IT"/>
        </w:rPr>
        <w:br/>
        <w:t xml:space="preserve">In particolare, la ricorrente si duole del fatto che i componenti della Commissione di gara siano stati individuati all’interno della stessa Amministrazione procedente. </w:t>
      </w:r>
      <w:r w:rsidRPr="008B3F4B">
        <w:rPr>
          <w:rFonts w:asciiTheme="minorHAnsi" w:eastAsia="Times New Roman" w:hAnsiTheme="minorHAnsi" w:cstheme="minorHAnsi"/>
          <w:color w:val="3D3B39"/>
          <w:lang w:eastAsia="it-IT"/>
        </w:rPr>
        <w:br/>
        <w:t xml:space="preserve">Le censure sono infondate. </w:t>
      </w:r>
      <w:r w:rsidRPr="008B3F4B">
        <w:rPr>
          <w:rFonts w:asciiTheme="minorHAnsi" w:eastAsia="Times New Roman" w:hAnsiTheme="minorHAnsi" w:cstheme="minorHAnsi"/>
          <w:color w:val="3D3B39"/>
          <w:lang w:eastAsia="it-IT"/>
        </w:rPr>
        <w:br/>
        <w:t xml:space="preserve">Le disposizioni dell'art. 77, prima parte, del d.lgs. n. 50 del 2016, invocate dalla ricorrente, sono destinate a valere solo a regime, ovvero dopo che sarà stato creato l’albo dei commissari cui essa si riferisce; sino a quel momento, ai sensi del comma 12, “la commissione continua ad essere nominata dall’organo della </w:t>
      </w:r>
      <w:r w:rsidRPr="008B3F4B">
        <w:rPr>
          <w:rFonts w:asciiTheme="minorHAnsi" w:eastAsia="Times New Roman" w:hAnsiTheme="minorHAnsi" w:cstheme="minorHAnsi"/>
          <w:color w:val="3D3B39"/>
          <w:lang w:eastAsia="it-IT"/>
        </w:rPr>
        <w:lastRenderedPageBreak/>
        <w:t xml:space="preserve">stazione appaltante competente ad effettuare la scelta del soggetto affidatario del contratto, secondo regole di competenza e trasparenza preventivamente individuate da ciascuna stazione appaltante”. </w:t>
      </w:r>
      <w:r w:rsidRPr="008B3F4B">
        <w:rPr>
          <w:rFonts w:asciiTheme="minorHAnsi" w:eastAsia="Times New Roman" w:hAnsiTheme="minorHAnsi" w:cstheme="minorHAnsi"/>
          <w:color w:val="3D3B39"/>
          <w:lang w:eastAsia="it-IT"/>
        </w:rPr>
        <w:br/>
        <w:t xml:space="preserve">Orbene, allo stato, l’albo dei commissari non è stato ancora istituito, con la conseguenza che la stazione appaltante ben poteva nominare i componenti della Commissione di gara anche al proprio interno, rispettando i criteri di competenza e trasparenza cui fa riferimento l’art. 77, comma 12, del d.lgs. n. 50/2016. </w:t>
      </w:r>
      <w:r w:rsidRPr="008B3F4B">
        <w:rPr>
          <w:rFonts w:asciiTheme="minorHAnsi" w:eastAsia="Times New Roman" w:hAnsiTheme="minorHAnsi" w:cstheme="minorHAnsi"/>
          <w:color w:val="3D3B39"/>
          <w:lang w:eastAsia="it-IT"/>
        </w:rPr>
        <w:br/>
        <w:t xml:space="preserve">A tale riguardo, il Collegio rileva che il Presidente della Commissione di gara (dott. Angelo Vittorio </w:t>
      </w:r>
      <w:proofErr w:type="spellStart"/>
      <w:r w:rsidRPr="008B3F4B">
        <w:rPr>
          <w:rFonts w:asciiTheme="minorHAnsi" w:eastAsia="Times New Roman" w:hAnsiTheme="minorHAnsi" w:cstheme="minorHAnsi"/>
          <w:color w:val="3D3B39"/>
          <w:lang w:eastAsia="it-IT"/>
        </w:rPr>
        <w:t>Sestito</w:t>
      </w:r>
      <w:proofErr w:type="spellEnd"/>
      <w:r w:rsidRPr="008B3F4B">
        <w:rPr>
          <w:rFonts w:asciiTheme="minorHAnsi" w:eastAsia="Times New Roman" w:hAnsiTheme="minorHAnsi" w:cstheme="minorHAnsi"/>
          <w:color w:val="3D3B39"/>
          <w:lang w:eastAsia="it-IT"/>
        </w:rPr>
        <w:t xml:space="preserve">) è il direttore dell’Unità organizzativa complessa Gestione del Patrimonio e gli altri due componenti (dott.ssa Cristiana Bianchini; ing. Massimiliano Pasquali </w:t>
      </w:r>
      <w:proofErr w:type="spellStart"/>
      <w:r w:rsidRPr="008B3F4B">
        <w:rPr>
          <w:rFonts w:asciiTheme="minorHAnsi" w:eastAsia="Times New Roman" w:hAnsiTheme="minorHAnsi" w:cstheme="minorHAnsi"/>
          <w:color w:val="3D3B39"/>
          <w:lang w:eastAsia="it-IT"/>
        </w:rPr>
        <w:t>Coluzzi</w:t>
      </w:r>
      <w:proofErr w:type="spellEnd"/>
      <w:r w:rsidRPr="008B3F4B">
        <w:rPr>
          <w:rFonts w:asciiTheme="minorHAnsi" w:eastAsia="Times New Roman" w:hAnsiTheme="minorHAnsi" w:cstheme="minorHAnsi"/>
          <w:color w:val="3D3B39"/>
          <w:lang w:eastAsia="it-IT"/>
        </w:rPr>
        <w:t xml:space="preserve">) sono rispettivamente il direttore f.f. del Presidio ospedaliera Sandro Pertini e il direttore f.f. dell’Unità organizzativa complessa Lavori Pubblici Investimenti e Territorio. </w:t>
      </w:r>
      <w:r w:rsidRPr="008B3F4B">
        <w:rPr>
          <w:rFonts w:asciiTheme="minorHAnsi" w:eastAsia="Times New Roman" w:hAnsiTheme="minorHAnsi" w:cstheme="minorHAnsi"/>
          <w:color w:val="3D3B39"/>
          <w:lang w:eastAsia="it-IT"/>
        </w:rPr>
        <w:br/>
        <w:t xml:space="preserve">In ragione delle rilevanti funzioni gestionali ad essi conferite, il Collegio ritiene che non risulti comprovata la dedotta carenza di competenza professionale dei componenti della Commissione di gara. </w:t>
      </w:r>
      <w:r w:rsidRPr="008B3F4B">
        <w:rPr>
          <w:rFonts w:asciiTheme="minorHAnsi" w:eastAsia="Times New Roman" w:hAnsiTheme="minorHAnsi" w:cstheme="minorHAnsi"/>
          <w:color w:val="3D3B39"/>
          <w:lang w:eastAsia="it-IT"/>
        </w:rPr>
        <w:br/>
        <w:t xml:space="preserve">Secondo principi consolidati nella giurisprudenza amministrativa, in tema di gare pubbliche, il requisito dell’esperienza nello specifico settore cui si riferisce l’oggetto del contratto deve essere inteso in modo coerente con la poliedricità delle competenze spesso richieste in relazione alla complessiva prestazione da affidare, non solo tenendo conto, secondo un approccio formale e atomistico, delle strette professionalità tecnico settoriali implicate dagli specifici criteri di valutazione, la cui applicazione sia prevista dalla </w:t>
      </w:r>
      <w:proofErr w:type="spellStart"/>
      <w:r w:rsidRPr="008B3F4B">
        <w:rPr>
          <w:rFonts w:asciiTheme="minorHAnsi" w:eastAsia="Times New Roman" w:hAnsiTheme="minorHAnsi" w:cstheme="minorHAnsi"/>
          <w:color w:val="3D3B39"/>
          <w:lang w:eastAsia="it-IT"/>
        </w:rPr>
        <w:t>lex</w:t>
      </w:r>
      <w:proofErr w:type="spellEnd"/>
      <w:r w:rsidRPr="008B3F4B">
        <w:rPr>
          <w:rFonts w:asciiTheme="minorHAnsi" w:eastAsia="Times New Roman" w:hAnsiTheme="minorHAnsi" w:cstheme="minorHAnsi"/>
          <w:color w:val="3D3B39"/>
          <w:lang w:eastAsia="it-IT"/>
        </w:rPr>
        <w:t xml:space="preserve"> </w:t>
      </w:r>
      <w:proofErr w:type="spellStart"/>
      <w:r w:rsidRPr="008B3F4B">
        <w:rPr>
          <w:rFonts w:asciiTheme="minorHAnsi" w:eastAsia="Times New Roman" w:hAnsiTheme="minorHAnsi" w:cstheme="minorHAnsi"/>
          <w:color w:val="3D3B39"/>
          <w:lang w:eastAsia="it-IT"/>
        </w:rPr>
        <w:t>specialis</w:t>
      </w:r>
      <w:proofErr w:type="spellEnd"/>
      <w:r w:rsidRPr="008B3F4B">
        <w:rPr>
          <w:rFonts w:asciiTheme="minorHAnsi" w:eastAsia="Times New Roman" w:hAnsiTheme="minorHAnsi" w:cstheme="minorHAnsi"/>
          <w:color w:val="3D3B39"/>
          <w:lang w:eastAsia="it-IT"/>
        </w:rPr>
        <w:t xml:space="preserve">, ma considerando, secondo un approccio di natura sistematica e contestualizzata, anche le professionalità occorrenti a valutare sia le esigenze dell’Amministrazione, alla quale quei criteri siano funzionalmente preordinati, sia i concreti aspetti gestionali ed organizzativi sui quali gli stessi siano destinati ad incidere (Consiglio di Stato, sez. III, 16 aprile 2018 n. 2241). </w:t>
      </w:r>
      <w:r w:rsidRPr="008B3F4B">
        <w:rPr>
          <w:rFonts w:asciiTheme="minorHAnsi" w:eastAsia="Times New Roman" w:hAnsiTheme="minorHAnsi" w:cstheme="minorHAnsi"/>
          <w:color w:val="3D3B39"/>
          <w:lang w:eastAsia="it-IT"/>
        </w:rPr>
        <w:br/>
        <w:t xml:space="preserve">Con il secondo motivo, la ricorrente deduce: Violazione degli artt. 30, 83 e 95 del d.lgs. n. 50/2016. Eccesso di potere per illogicità, contraddittorietà, errata valutazione dei presupposti, difetto assoluto di motivazione. </w:t>
      </w:r>
      <w:r w:rsidRPr="008B3F4B">
        <w:rPr>
          <w:rFonts w:asciiTheme="minorHAnsi" w:eastAsia="Times New Roman" w:hAnsiTheme="minorHAnsi" w:cstheme="minorHAnsi"/>
          <w:color w:val="3D3B39"/>
          <w:lang w:eastAsia="it-IT"/>
        </w:rPr>
        <w:br/>
        <w:t xml:space="preserve">Dopo aver evidenziato che il criterio di aggiudicazione della gara era quello dell’offerta economicamente più vantaggiosa e che la </w:t>
      </w:r>
      <w:proofErr w:type="spellStart"/>
      <w:r w:rsidRPr="008B3F4B">
        <w:rPr>
          <w:rFonts w:asciiTheme="minorHAnsi" w:eastAsia="Times New Roman" w:hAnsiTheme="minorHAnsi" w:cstheme="minorHAnsi"/>
          <w:color w:val="3D3B39"/>
          <w:lang w:eastAsia="it-IT"/>
        </w:rPr>
        <w:t>lex</w:t>
      </w:r>
      <w:proofErr w:type="spellEnd"/>
      <w:r w:rsidRPr="008B3F4B">
        <w:rPr>
          <w:rFonts w:asciiTheme="minorHAnsi" w:eastAsia="Times New Roman" w:hAnsiTheme="minorHAnsi" w:cstheme="minorHAnsi"/>
          <w:color w:val="3D3B39"/>
          <w:lang w:eastAsia="it-IT"/>
        </w:rPr>
        <w:t xml:space="preserve"> </w:t>
      </w:r>
      <w:proofErr w:type="spellStart"/>
      <w:r w:rsidRPr="008B3F4B">
        <w:rPr>
          <w:rFonts w:asciiTheme="minorHAnsi" w:eastAsia="Times New Roman" w:hAnsiTheme="minorHAnsi" w:cstheme="minorHAnsi"/>
          <w:color w:val="3D3B39"/>
          <w:lang w:eastAsia="it-IT"/>
        </w:rPr>
        <w:t>specialis</w:t>
      </w:r>
      <w:proofErr w:type="spellEnd"/>
      <w:r w:rsidRPr="008B3F4B">
        <w:rPr>
          <w:rFonts w:asciiTheme="minorHAnsi" w:eastAsia="Times New Roman" w:hAnsiTheme="minorHAnsi" w:cstheme="minorHAnsi"/>
          <w:color w:val="3D3B39"/>
          <w:lang w:eastAsia="it-IT"/>
        </w:rPr>
        <w:t xml:space="preserve"> di gara prevedeva l’attribuzione di punti 60/100 per l’offerta tecnica e di 40/100 per l’offerta economica, la ricorrente contesta alcuni dei criteri di valutazione delle offerte tecniche (in particolare il criterio n. 1 – Caratteristiche e modalità di esecuzione del servizio; il criterio n. 4 – Precedenti esperienze nel settore oggetto di gara e il criterio n. 5 – Servizi aggiuntivi), sostenendo che detti criteri erano sostanzialmente rimessi alla valutazione discrezionale della Commissione di gara. </w:t>
      </w:r>
      <w:r w:rsidRPr="008B3F4B">
        <w:rPr>
          <w:rFonts w:asciiTheme="minorHAnsi" w:eastAsia="Times New Roman" w:hAnsiTheme="minorHAnsi" w:cstheme="minorHAnsi"/>
          <w:color w:val="3D3B39"/>
          <w:lang w:eastAsia="it-IT"/>
        </w:rPr>
        <w:br/>
        <w:t xml:space="preserve">Con il terzo motivo, la ricorrente deduce: Violazione degli artt. 30, 83 e 95 del d.lgs. n. 50/2016. Eccesso di potere per illogicità, contraddittorietà, errata valutazione dei presupposti, difetto assoluto di motivazione. </w:t>
      </w:r>
      <w:r w:rsidRPr="008B3F4B">
        <w:rPr>
          <w:rFonts w:asciiTheme="minorHAnsi" w:eastAsia="Times New Roman" w:hAnsiTheme="minorHAnsi" w:cstheme="minorHAnsi"/>
          <w:color w:val="3D3B39"/>
          <w:lang w:eastAsia="it-IT"/>
        </w:rPr>
        <w:br/>
        <w:t xml:space="preserve">La ricorrente si duole del fatto che il criterio n. 4 di valutazione della offerta tecnica (Precedenti esperienze nel settore oggetto di gara) faccia riferimento non alla qualità del servizio offerto, ma ai requisiti soggettivi dei concorrenti. </w:t>
      </w:r>
      <w:r w:rsidRPr="008B3F4B">
        <w:rPr>
          <w:rFonts w:asciiTheme="minorHAnsi" w:eastAsia="Times New Roman" w:hAnsiTheme="minorHAnsi" w:cstheme="minorHAnsi"/>
          <w:color w:val="3D3B39"/>
          <w:lang w:eastAsia="it-IT"/>
        </w:rPr>
        <w:br/>
        <w:t xml:space="preserve">Le censure di cui al secondo e al terzo motivo sono inammissibili e/o infondate; esse vengono esaminate congiuntamente attenendo a profili connessi. </w:t>
      </w:r>
      <w:r w:rsidRPr="008B3F4B">
        <w:rPr>
          <w:rFonts w:asciiTheme="minorHAnsi" w:eastAsia="Times New Roman" w:hAnsiTheme="minorHAnsi" w:cstheme="minorHAnsi"/>
          <w:color w:val="3D3B39"/>
          <w:lang w:eastAsia="it-IT"/>
        </w:rPr>
        <w:br/>
        <w:t xml:space="preserve">Nel disciplinare di gara, il criterio n. 1 – Caratteristiche e modalità di esecuzione del servizio (per il quale era prevista l’attribuzione fino a 40 punti) era suddiviso in quattro sub – criteri, per ognuno dei quali era prevista l’attribuzione di sub-punteggi: </w:t>
      </w:r>
      <w:r w:rsidRPr="008B3F4B">
        <w:rPr>
          <w:rFonts w:asciiTheme="minorHAnsi" w:eastAsia="Times New Roman" w:hAnsiTheme="minorHAnsi" w:cstheme="minorHAnsi"/>
          <w:color w:val="3D3B39"/>
          <w:lang w:eastAsia="it-IT"/>
        </w:rPr>
        <w:br/>
        <w:t xml:space="preserve">1.1 Impianti tecnologici offerti per migliorare la sicurezza dell’Azienda sanitaria (sistemi di videosorveglianza, sistemi antintrusione, etc.), per il quale (sub-criterio) era prevista l’attribuzione fino a 15 punti; </w:t>
      </w:r>
      <w:r w:rsidRPr="008B3F4B">
        <w:rPr>
          <w:rFonts w:asciiTheme="minorHAnsi" w:eastAsia="Times New Roman" w:hAnsiTheme="minorHAnsi" w:cstheme="minorHAnsi"/>
          <w:color w:val="3D3B39"/>
          <w:lang w:eastAsia="it-IT"/>
        </w:rPr>
        <w:br/>
        <w:t xml:space="preserve">1.2 Modalità di espletamento del servizio, procedure operative e protocolli organizzativi utilizzati nella gestione; per il quale (sub-criterio) era prevista l’attribuzione fino a 10 punti; </w:t>
      </w:r>
      <w:r w:rsidRPr="008B3F4B">
        <w:rPr>
          <w:rFonts w:asciiTheme="minorHAnsi" w:eastAsia="Times New Roman" w:hAnsiTheme="minorHAnsi" w:cstheme="minorHAnsi"/>
          <w:color w:val="3D3B39"/>
          <w:lang w:eastAsia="it-IT"/>
        </w:rPr>
        <w:br/>
        <w:t xml:space="preserve">1.3 Sistemi informativi di gestione della commessa, monitoraggio e analisi della qualità del servizio, per il quale (sub-criterio) era prevista l’attribuzione fino a 8 punti; </w:t>
      </w:r>
      <w:r w:rsidRPr="008B3F4B">
        <w:rPr>
          <w:rFonts w:asciiTheme="minorHAnsi" w:eastAsia="Times New Roman" w:hAnsiTheme="minorHAnsi" w:cstheme="minorHAnsi"/>
          <w:color w:val="3D3B39"/>
          <w:lang w:eastAsia="it-IT"/>
        </w:rPr>
        <w:br/>
        <w:t xml:space="preserve">1.4 Dimensionamento e organizzazione della struttura dedicata alla gestione dell’appalto, per il quale (sub – criterio) era prevista l’attribuzione fino a 7 punti. </w:t>
      </w:r>
      <w:r w:rsidRPr="008B3F4B">
        <w:rPr>
          <w:rFonts w:asciiTheme="minorHAnsi" w:eastAsia="Times New Roman" w:hAnsiTheme="minorHAnsi" w:cstheme="minorHAnsi"/>
          <w:color w:val="3D3B39"/>
          <w:lang w:eastAsia="it-IT"/>
        </w:rPr>
        <w:br/>
        <w:t xml:space="preserve">Deve conseguentemente ritenersi che la stazione appaltante abbia legittimamente determinato in via preventiva i sub-criteri e i sub-punteggi sulla base dei quali l’offerta economica dei concorrenti sarebbe stata valutata; le censure dedotte a riguardo dalla ricorrente si rivelano quindi prive di fondamento, </w:t>
      </w:r>
      <w:r w:rsidRPr="008B3F4B">
        <w:rPr>
          <w:rFonts w:asciiTheme="minorHAnsi" w:eastAsia="Times New Roman" w:hAnsiTheme="minorHAnsi" w:cstheme="minorHAnsi"/>
          <w:color w:val="3D3B39"/>
          <w:lang w:eastAsia="it-IT"/>
        </w:rPr>
        <w:lastRenderedPageBreak/>
        <w:t xml:space="preserve">essendo possibile ricostruire ex post il percorso motivazionale seguito dalla Commissione di gara nella attribuzione del punteggio. </w:t>
      </w:r>
      <w:r w:rsidRPr="008B3F4B">
        <w:rPr>
          <w:rFonts w:asciiTheme="minorHAnsi" w:eastAsia="Times New Roman" w:hAnsiTheme="minorHAnsi" w:cstheme="minorHAnsi"/>
          <w:color w:val="3D3B39"/>
          <w:lang w:eastAsia="it-IT"/>
        </w:rPr>
        <w:br/>
        <w:t xml:space="preserve">Con riguardo al criterio n. 4 (Precedenti esperienze nel settore oggetto di gara) e al criterio n. 5 (Servizi aggiuntivi), la mancata predeterminazione di sub-criteri e sub-punteggi deve essere verosimilmente messa in relazione all’oggetto dei criteri medesimi, non suscettibile di definizione preventiva. In ogni caso, le censure dedotte con riguardo ai criteri n. 4 e 5 si rivelano inammissibili, per difetto di interesse, in quanto l’attribuzione del massimo punteggio previsto (punti 5) per ciascuno di questi due criteri non avrebbe consentito alla ricorrente di colmare il divario del punteggio che la separa dalla prima graduata. </w:t>
      </w:r>
      <w:r w:rsidRPr="008B3F4B">
        <w:rPr>
          <w:rFonts w:asciiTheme="minorHAnsi" w:eastAsia="Times New Roman" w:hAnsiTheme="minorHAnsi" w:cstheme="minorHAnsi"/>
          <w:color w:val="3D3B39"/>
          <w:lang w:eastAsia="it-IT"/>
        </w:rPr>
        <w:br/>
        <w:t xml:space="preserve">Con il quarto motivo, la ricorrente deduce: Violazione degli artt. 4, 30, 83 e 95 del d.lgs. n. 50/2016, della l. n. 241/1990. Eccesso di potere per illogicità, contraddittorietà, errata valutazione dei presupposti, difetto assoluto di motivazione. </w:t>
      </w:r>
      <w:r w:rsidRPr="008B3F4B">
        <w:rPr>
          <w:rFonts w:asciiTheme="minorHAnsi" w:eastAsia="Times New Roman" w:hAnsiTheme="minorHAnsi" w:cstheme="minorHAnsi"/>
          <w:color w:val="3D3B39"/>
          <w:lang w:eastAsia="it-IT"/>
        </w:rPr>
        <w:br/>
        <w:t xml:space="preserve">Dopo aver evidenziato che la procedura di gara si è protratta per mesi e che la Commissione di gara si è riunita 13 volte, la ricorrente deduce violazione dei principi di concentrazione e di continuità delle operazioni della Commissione, a garanzia della imparzialità, pubblicità, trasparenza e speditezza dell’azione amministrativa. </w:t>
      </w:r>
      <w:r w:rsidRPr="008B3F4B">
        <w:rPr>
          <w:rFonts w:asciiTheme="minorHAnsi" w:eastAsia="Times New Roman" w:hAnsiTheme="minorHAnsi" w:cstheme="minorHAnsi"/>
          <w:color w:val="3D3B39"/>
          <w:lang w:eastAsia="it-IT"/>
        </w:rPr>
        <w:br/>
        <w:t xml:space="preserve">Le censure sono infondate. </w:t>
      </w:r>
      <w:r w:rsidRPr="008B3F4B">
        <w:rPr>
          <w:rFonts w:asciiTheme="minorHAnsi" w:eastAsia="Times New Roman" w:hAnsiTheme="minorHAnsi" w:cstheme="minorHAnsi"/>
          <w:color w:val="3D3B39"/>
          <w:lang w:eastAsia="it-IT"/>
        </w:rPr>
        <w:br/>
        <w:t xml:space="preserve">Il fatto che la Commissione di gara si sia riunita n. 13 volte entro un arco temporale di circa sei mesi non determina di per sé solo la illegittimità degli atti gravati, non essendo allegato dalla ricorrente alcun pregiudizio concreto e dovendo verosimilmente la durata delle operazioni di gara essere messa in relazione con il numero dei lotti da aggiudicare e con il numero delle offerte da valutare. </w:t>
      </w:r>
      <w:r w:rsidRPr="008B3F4B">
        <w:rPr>
          <w:rFonts w:asciiTheme="minorHAnsi" w:eastAsia="Times New Roman" w:hAnsiTheme="minorHAnsi" w:cstheme="minorHAnsi"/>
          <w:color w:val="3D3B39"/>
          <w:lang w:eastAsia="it-IT"/>
        </w:rPr>
        <w:br/>
        <w:t xml:space="preserve">Con il quinto motivo, la ricorrente deduce: Violazione degli artt. 30 e 77 del d.lgs. n. 50/2016, dell’art. 11 del Disciplinare di gara. Eccesso di potere per illogicità, contraddittorietà, errata valutazione dei presupposti, difetto di istruttoria, difetto assoluto di motivazione. </w:t>
      </w:r>
      <w:r w:rsidRPr="008B3F4B">
        <w:rPr>
          <w:rFonts w:asciiTheme="minorHAnsi" w:eastAsia="Times New Roman" w:hAnsiTheme="minorHAnsi" w:cstheme="minorHAnsi"/>
          <w:color w:val="3D3B39"/>
          <w:lang w:eastAsia="it-IT"/>
        </w:rPr>
        <w:br/>
        <w:t xml:space="preserve">In particolare, la ricorrente si duole del fatto che la seduta della Commissione di gara del 9 gennaio 2018 (verbale n. 7) sia durata solo un’ora e mezza (dalle ore 16.00 alle ore 17.30), un arco temporale che la ricorrente giudica incongruo per la valutazione delle offerte. </w:t>
      </w:r>
      <w:r w:rsidRPr="008B3F4B">
        <w:rPr>
          <w:rFonts w:asciiTheme="minorHAnsi" w:eastAsia="Times New Roman" w:hAnsiTheme="minorHAnsi" w:cstheme="minorHAnsi"/>
          <w:color w:val="3D3B39"/>
          <w:lang w:eastAsia="it-IT"/>
        </w:rPr>
        <w:br/>
        <w:t xml:space="preserve">Analoghe doglianze sono formulate dalla ricorrente con riguardo al verbale n. 6, relativo alla seduta della Commissione di gara del 21 gennaio 2017. </w:t>
      </w:r>
      <w:r w:rsidRPr="008B3F4B">
        <w:rPr>
          <w:rFonts w:asciiTheme="minorHAnsi" w:eastAsia="Times New Roman" w:hAnsiTheme="minorHAnsi" w:cstheme="minorHAnsi"/>
          <w:color w:val="3D3B39"/>
          <w:lang w:eastAsia="it-IT"/>
        </w:rPr>
        <w:br/>
        <w:t xml:space="preserve">Le censure sono inammissibili e infondate. </w:t>
      </w:r>
      <w:r w:rsidRPr="008B3F4B">
        <w:rPr>
          <w:rFonts w:asciiTheme="minorHAnsi" w:eastAsia="Times New Roman" w:hAnsiTheme="minorHAnsi" w:cstheme="minorHAnsi"/>
          <w:color w:val="3D3B39"/>
          <w:lang w:eastAsia="it-IT"/>
        </w:rPr>
        <w:br/>
        <w:t xml:space="preserve">La seduta della Commissione di gara del 9 gennaio 2018 aveva ad oggetto solo la valutazione del criterio n. 4 (Precedenti esperienze nel settore oggetto di gara) e del criterio n. 5 (Servizi aggiuntivi). </w:t>
      </w:r>
      <w:r w:rsidRPr="008B3F4B">
        <w:rPr>
          <w:rFonts w:asciiTheme="minorHAnsi" w:eastAsia="Times New Roman" w:hAnsiTheme="minorHAnsi" w:cstheme="minorHAnsi"/>
          <w:color w:val="3D3B39"/>
          <w:lang w:eastAsia="it-IT"/>
        </w:rPr>
        <w:br/>
        <w:t xml:space="preserve">La seduta della Commissione di gara del 21 gennaio 2017 aveva invece ad oggetto la valutazione del criterio n. 2.1 (Numero di guardie che intervengono su allarme o su chiamata nell’arco di 30 minuti), per il quale il disciplinare di gara individuava dei precisi sub-criteri e sub-punteggi). </w:t>
      </w:r>
      <w:r w:rsidRPr="008B3F4B">
        <w:rPr>
          <w:rFonts w:asciiTheme="minorHAnsi" w:eastAsia="Times New Roman" w:hAnsiTheme="minorHAnsi" w:cstheme="minorHAnsi"/>
          <w:color w:val="3D3B39"/>
          <w:lang w:eastAsia="it-IT"/>
        </w:rPr>
        <w:br/>
        <w:t xml:space="preserve">Orbene, in considerazione della non particolare complessità dei predetti criteri (per ognuno dei quali era prevista l’attribuzione di un punteggio massimo di 5 punti), deve ritenersi che il tempo utilizzato dalla Commissione di gara non sia incongruo. </w:t>
      </w:r>
      <w:r w:rsidRPr="008B3F4B">
        <w:rPr>
          <w:rFonts w:asciiTheme="minorHAnsi" w:eastAsia="Times New Roman" w:hAnsiTheme="minorHAnsi" w:cstheme="minorHAnsi"/>
          <w:color w:val="3D3B39"/>
          <w:lang w:eastAsia="it-IT"/>
        </w:rPr>
        <w:br/>
        <w:t xml:space="preserve">Oltre a ciò, non sono allegati dalla ricorrente elementi concreti che denotino la erroneità delle valutazioni espresse dalla Commissione di gara, con la conseguenza che il mero fatto che le operazioni di gara si siano svolte in tempi ristretti non è di per sé solo sufficiente ad infirmare la legittimità dei verbali impugnati. </w:t>
      </w:r>
      <w:r w:rsidRPr="008B3F4B">
        <w:rPr>
          <w:rFonts w:asciiTheme="minorHAnsi" w:eastAsia="Times New Roman" w:hAnsiTheme="minorHAnsi" w:cstheme="minorHAnsi"/>
          <w:color w:val="3D3B39"/>
          <w:lang w:eastAsia="it-IT"/>
        </w:rPr>
        <w:br/>
        <w:t xml:space="preserve">Con il sesto motivo di gravame, la ricorrente deduce: Violazione degli artt. 30, 77 e 95 del d.lgs. n. 50/2016, degli artt. 10 e 11 del Disciplinare di gara. Eccesso di potere per illogicità, contraddittorietà, errata valutazione dei presupposti, difetto di istruttoria, difetto assoluto di motivazione. </w:t>
      </w:r>
      <w:r w:rsidRPr="008B3F4B">
        <w:rPr>
          <w:rFonts w:asciiTheme="minorHAnsi" w:eastAsia="Times New Roman" w:hAnsiTheme="minorHAnsi" w:cstheme="minorHAnsi"/>
          <w:color w:val="3D3B39"/>
          <w:lang w:eastAsia="it-IT"/>
        </w:rPr>
        <w:br/>
        <w:t xml:space="preserve">Dopo aver richiamato l’art. 77, comma 1, e l’art. 95, comma 6, del d.lgs. n. 50/2016 nonché gli artt. 10 e 11 del disciplinare di gara, la ricorrente si duole del fatto che nelle sedute dalla n. 1 del 14 settembre 2017 alla n. 7 del 9 gennaio 2018, la Commissione di gara si sia limitata alla disamina dei progetti tecnici presentati dalla ditte concorrenti e che l’attribuzione dei relativi punteggi sarebbe avvenuta solo nella seduta del 22 marzo 2018 (verbale n. 12). </w:t>
      </w:r>
      <w:r w:rsidRPr="008B3F4B">
        <w:rPr>
          <w:rFonts w:asciiTheme="minorHAnsi" w:eastAsia="Times New Roman" w:hAnsiTheme="minorHAnsi" w:cstheme="minorHAnsi"/>
          <w:color w:val="3D3B39"/>
          <w:lang w:eastAsia="it-IT"/>
        </w:rPr>
        <w:br/>
        <w:t xml:space="preserve">In buona sostanza, la ricorrente lamenta che l’attribuzione dei punteggi non sia avvenuta contestualmente alla disamina delle relative offerte, compromettendo, a suo giudizio, l’imparzialità dell’operato della Commissione di gara. </w:t>
      </w:r>
      <w:r w:rsidRPr="008B3F4B">
        <w:rPr>
          <w:rFonts w:asciiTheme="minorHAnsi" w:eastAsia="Times New Roman" w:hAnsiTheme="minorHAnsi" w:cstheme="minorHAnsi"/>
          <w:color w:val="3D3B39"/>
          <w:lang w:eastAsia="it-IT"/>
        </w:rPr>
        <w:br/>
        <w:t xml:space="preserve">A sostegno della propria tesi, evidenzia che per il criterio n. 4 (Precedenti esperienze nel settore oggetto della gara), all’offerta della ricorrente è stato attribuito il punteggio di 1,25/5, mentre in considerazione </w:t>
      </w:r>
      <w:r w:rsidRPr="008B3F4B">
        <w:rPr>
          <w:rFonts w:asciiTheme="minorHAnsi" w:eastAsia="Times New Roman" w:hAnsiTheme="minorHAnsi" w:cstheme="minorHAnsi"/>
          <w:color w:val="3D3B39"/>
          <w:lang w:eastAsia="it-IT"/>
        </w:rPr>
        <w:lastRenderedPageBreak/>
        <w:t xml:space="preserve">dell’attività professionale pregressa nel settore della Vigilanza la Commissione avrebbe dovuto attribuire a detta offerta il punteggio di 5/5. </w:t>
      </w:r>
      <w:r w:rsidRPr="008B3F4B">
        <w:rPr>
          <w:rFonts w:asciiTheme="minorHAnsi" w:eastAsia="Times New Roman" w:hAnsiTheme="minorHAnsi" w:cstheme="minorHAnsi"/>
          <w:color w:val="3D3B39"/>
          <w:lang w:eastAsia="it-IT"/>
        </w:rPr>
        <w:br/>
        <w:t xml:space="preserve">Le censure sono infondate. </w:t>
      </w:r>
      <w:r w:rsidRPr="008B3F4B">
        <w:rPr>
          <w:rFonts w:asciiTheme="minorHAnsi" w:eastAsia="Times New Roman" w:hAnsiTheme="minorHAnsi" w:cstheme="minorHAnsi"/>
          <w:color w:val="3D3B39"/>
          <w:lang w:eastAsia="it-IT"/>
        </w:rPr>
        <w:br/>
        <w:t xml:space="preserve">Occorre premettere che la ricorrente non contesta la adozione di misure idonee a salvaguardare l’integrità e/o la segretezza delle offerte tecniche, attraverso la custodia dei plichi tra una seduta e l’altra. </w:t>
      </w:r>
      <w:r w:rsidRPr="008B3F4B">
        <w:rPr>
          <w:rFonts w:asciiTheme="minorHAnsi" w:eastAsia="Times New Roman" w:hAnsiTheme="minorHAnsi" w:cstheme="minorHAnsi"/>
          <w:color w:val="3D3B39"/>
          <w:lang w:eastAsia="it-IT"/>
        </w:rPr>
        <w:br/>
        <w:t xml:space="preserve">Tanto premesso, dalle disposizioni normative invocate dalla ricorrente non si desume l’obbligo della Commissione di gara di attribuire il punteggio immediatamente e contestualmente alla valutazione delle singole offerte. </w:t>
      </w:r>
      <w:r w:rsidRPr="008B3F4B">
        <w:rPr>
          <w:rFonts w:asciiTheme="minorHAnsi" w:eastAsia="Times New Roman" w:hAnsiTheme="minorHAnsi" w:cstheme="minorHAnsi"/>
          <w:color w:val="3D3B39"/>
          <w:lang w:eastAsia="it-IT"/>
        </w:rPr>
        <w:br/>
        <w:t xml:space="preserve">Appare quindi plausibile la tesi della Amministrazione secondo la quale il modus operandi della Commissione di gara trova la sua ratio giustificatrice nella considerazione che il disciplinare di gara non prevedeva che l’offerta tecnica fosse articolata in paragrafi corrispondenti ai criteri di valutazione, con la conseguenza che la Commissione di gara ha preferito attribuire i punteggi dopo aver esaminato tutti gli elementi della offerta tecnica, in conformità ai principi di imparzialità e buon andamento. </w:t>
      </w:r>
      <w:r w:rsidRPr="008B3F4B">
        <w:rPr>
          <w:rFonts w:asciiTheme="minorHAnsi" w:eastAsia="Times New Roman" w:hAnsiTheme="minorHAnsi" w:cstheme="minorHAnsi"/>
          <w:color w:val="3D3B39"/>
          <w:lang w:eastAsia="it-IT"/>
        </w:rPr>
        <w:br/>
        <w:t xml:space="preserve">Con riguardo poi all’attribuzione di punti 1,25/5 per il criterio n. 4 (Precedenti esperienze nel settore oggetto della gara), il Collegio deve rilevare che la ricorrente partecipava alla gara quale mandataria di un costituendo raggruppamento temporaneo di imprese. Ne consegue che non può assumere rilevanza dirimente il riferimento alla sola attività professionale svolta dalla società ricorrente nel settore della Vigilanza, venendo in rilievo anche l’attività svolta dagli altri operatori economici facenti parte del predetto raggruppamento. In ogni caso, anche l’attribuzione del massimo punteggio per il criterio in questione (punti 5) non avrebbe consentito al raggruppamento della ricorrente di collocarsi in posizione utile per l’aggiudicazione. </w:t>
      </w:r>
      <w:r w:rsidRPr="008B3F4B">
        <w:rPr>
          <w:rFonts w:asciiTheme="minorHAnsi" w:eastAsia="Times New Roman" w:hAnsiTheme="minorHAnsi" w:cstheme="minorHAnsi"/>
          <w:color w:val="3D3B39"/>
          <w:lang w:eastAsia="it-IT"/>
        </w:rPr>
        <w:br/>
        <w:t xml:space="preserve">Con l’ultimo motivo di gravame, la ricorrente deduce: Violazione dell’art. 9 del </w:t>
      </w:r>
      <w:proofErr w:type="spellStart"/>
      <w:r w:rsidRPr="008B3F4B">
        <w:rPr>
          <w:rFonts w:asciiTheme="minorHAnsi" w:eastAsia="Times New Roman" w:hAnsiTheme="minorHAnsi" w:cstheme="minorHAnsi"/>
          <w:color w:val="3D3B39"/>
          <w:lang w:eastAsia="it-IT"/>
        </w:rPr>
        <w:t>d.l.</w:t>
      </w:r>
      <w:proofErr w:type="spellEnd"/>
      <w:r w:rsidRPr="008B3F4B">
        <w:rPr>
          <w:rFonts w:asciiTheme="minorHAnsi" w:eastAsia="Times New Roman" w:hAnsiTheme="minorHAnsi" w:cstheme="minorHAnsi"/>
          <w:color w:val="3D3B39"/>
          <w:lang w:eastAsia="it-IT"/>
        </w:rPr>
        <w:t xml:space="preserve"> n. 66/2014, convertito dalla l. n. 89/2014, della </w:t>
      </w:r>
      <w:proofErr w:type="spellStart"/>
      <w:r w:rsidRPr="008B3F4B">
        <w:rPr>
          <w:rFonts w:asciiTheme="minorHAnsi" w:eastAsia="Times New Roman" w:hAnsiTheme="minorHAnsi" w:cstheme="minorHAnsi"/>
          <w:color w:val="3D3B39"/>
          <w:lang w:eastAsia="it-IT"/>
        </w:rPr>
        <w:t>l.r</w:t>
      </w:r>
      <w:proofErr w:type="spellEnd"/>
      <w:r w:rsidRPr="008B3F4B">
        <w:rPr>
          <w:rFonts w:asciiTheme="minorHAnsi" w:eastAsia="Times New Roman" w:hAnsiTheme="minorHAnsi" w:cstheme="minorHAnsi"/>
          <w:color w:val="3D3B39"/>
          <w:lang w:eastAsia="it-IT"/>
        </w:rPr>
        <w:t xml:space="preserve">. n. 14/2008, del Bando della Regione Lazio pubblicato in data 28.12.2017 per la gara comunitaria centralizzata a procedura aperta, suddivisa in 26 lotti, finalizzata all’affidamento dei servizi di Vigilanza Armata e Guardiania presso le sedi delle Aziende Sanitarie della Regione Lazio. Eccesso di potere, illogicità, errata valutazione dei presupposti, contraddittorietà, difetto di motivazione. </w:t>
      </w:r>
      <w:r w:rsidRPr="008B3F4B">
        <w:rPr>
          <w:rFonts w:asciiTheme="minorHAnsi" w:eastAsia="Times New Roman" w:hAnsiTheme="minorHAnsi" w:cstheme="minorHAnsi"/>
          <w:color w:val="3D3B39"/>
          <w:lang w:eastAsia="it-IT"/>
        </w:rPr>
        <w:br/>
        <w:t xml:space="preserve">La ricorrente lamenta la violazione dell’art. 9 del </w:t>
      </w:r>
      <w:proofErr w:type="spellStart"/>
      <w:r w:rsidRPr="008B3F4B">
        <w:rPr>
          <w:rFonts w:asciiTheme="minorHAnsi" w:eastAsia="Times New Roman" w:hAnsiTheme="minorHAnsi" w:cstheme="minorHAnsi"/>
          <w:color w:val="3D3B39"/>
          <w:lang w:eastAsia="it-IT"/>
        </w:rPr>
        <w:t>d.l.</w:t>
      </w:r>
      <w:proofErr w:type="spellEnd"/>
      <w:r w:rsidRPr="008B3F4B">
        <w:rPr>
          <w:rFonts w:asciiTheme="minorHAnsi" w:eastAsia="Times New Roman" w:hAnsiTheme="minorHAnsi" w:cstheme="minorHAnsi"/>
          <w:color w:val="3D3B39"/>
          <w:lang w:eastAsia="it-IT"/>
        </w:rPr>
        <w:t xml:space="preserve"> n. 66/2014, convertito dalla l. n. 89/2014, e della </w:t>
      </w:r>
      <w:proofErr w:type="spellStart"/>
      <w:r w:rsidRPr="008B3F4B">
        <w:rPr>
          <w:rFonts w:asciiTheme="minorHAnsi" w:eastAsia="Times New Roman" w:hAnsiTheme="minorHAnsi" w:cstheme="minorHAnsi"/>
          <w:color w:val="3D3B39"/>
          <w:lang w:eastAsia="it-IT"/>
        </w:rPr>
        <w:t>l.r</w:t>
      </w:r>
      <w:proofErr w:type="spellEnd"/>
      <w:r w:rsidRPr="008B3F4B">
        <w:rPr>
          <w:rFonts w:asciiTheme="minorHAnsi" w:eastAsia="Times New Roman" w:hAnsiTheme="minorHAnsi" w:cstheme="minorHAnsi"/>
          <w:color w:val="3D3B39"/>
          <w:lang w:eastAsia="it-IT"/>
        </w:rPr>
        <w:t xml:space="preserve">. n. 14/2008, in quanto, a suo dire, la gara in questione non poteva essere proseguita e aggiudicata, poiché nelle more del suo espletamento è stata indetta la gara regionale centralizzata, pubblicata in data 28 dicembre 2017. </w:t>
      </w:r>
      <w:r w:rsidRPr="008B3F4B">
        <w:rPr>
          <w:rFonts w:asciiTheme="minorHAnsi" w:eastAsia="Times New Roman" w:hAnsiTheme="minorHAnsi" w:cstheme="minorHAnsi"/>
          <w:color w:val="3D3B39"/>
          <w:lang w:eastAsia="it-IT"/>
        </w:rPr>
        <w:br/>
        <w:t xml:space="preserve">La tesi della ricorrente non può essere condivisa. </w:t>
      </w:r>
      <w:r w:rsidRPr="008B3F4B">
        <w:rPr>
          <w:rFonts w:asciiTheme="minorHAnsi" w:eastAsia="Times New Roman" w:hAnsiTheme="minorHAnsi" w:cstheme="minorHAnsi"/>
          <w:color w:val="3D3B39"/>
          <w:lang w:eastAsia="it-IT"/>
        </w:rPr>
        <w:br/>
        <w:t xml:space="preserve">La procedura di gara de qua è stata indetta quale gara ponte, in attesa dell’espletamento della gara da parte della centrale di committenza regionale e sulla base di specifica autorizzazione della Regione Lazio – Direzione Centrale Acquisti, rilasciata con nota del 28 aprile 2016 </w:t>
      </w:r>
      <w:proofErr w:type="spellStart"/>
      <w:r w:rsidRPr="008B3F4B">
        <w:rPr>
          <w:rFonts w:asciiTheme="minorHAnsi" w:eastAsia="Times New Roman" w:hAnsiTheme="minorHAnsi" w:cstheme="minorHAnsi"/>
          <w:color w:val="3D3B39"/>
          <w:lang w:eastAsia="it-IT"/>
        </w:rPr>
        <w:t>prot</w:t>
      </w:r>
      <w:proofErr w:type="spellEnd"/>
      <w:r w:rsidRPr="008B3F4B">
        <w:rPr>
          <w:rFonts w:asciiTheme="minorHAnsi" w:eastAsia="Times New Roman" w:hAnsiTheme="minorHAnsi" w:cstheme="minorHAnsi"/>
          <w:color w:val="3D3B39"/>
          <w:lang w:eastAsia="it-IT"/>
        </w:rPr>
        <w:t xml:space="preserve">. n. 218527. </w:t>
      </w:r>
      <w:r w:rsidRPr="008B3F4B">
        <w:rPr>
          <w:rFonts w:asciiTheme="minorHAnsi" w:eastAsia="Times New Roman" w:hAnsiTheme="minorHAnsi" w:cstheme="minorHAnsi"/>
          <w:color w:val="3D3B39"/>
          <w:lang w:eastAsia="it-IT"/>
        </w:rPr>
        <w:br/>
        <w:t xml:space="preserve">Oltre a ciò, l’art. 2, secondo periodo, del disciplinare di gara disponeva testualmente: “Qualora subentri, nelle more del perfezionamento dell’aggiudicazione o nel corso della fornitura, un provvedimento regionale centralizzato o di altro soggetto Aggregatore per l’affidamento del servizio oggetto, l’Azienda si riserva di recepire detto provvedimento e recedere dal contratto scaturente dalla presente procedura”. </w:t>
      </w:r>
      <w:r w:rsidRPr="008B3F4B">
        <w:rPr>
          <w:rFonts w:asciiTheme="minorHAnsi" w:eastAsia="Times New Roman" w:hAnsiTheme="minorHAnsi" w:cstheme="minorHAnsi"/>
          <w:color w:val="3D3B39"/>
          <w:lang w:eastAsia="it-IT"/>
        </w:rPr>
        <w:br/>
        <w:t xml:space="preserve">In conclusione, il ricorso è infondato e va respinto. </w:t>
      </w:r>
      <w:r w:rsidRPr="008B3F4B">
        <w:rPr>
          <w:rFonts w:asciiTheme="minorHAnsi" w:eastAsia="Times New Roman" w:hAnsiTheme="minorHAnsi" w:cstheme="minorHAnsi"/>
          <w:color w:val="3D3B39"/>
          <w:lang w:eastAsia="it-IT"/>
        </w:rPr>
        <w:br/>
        <w:t xml:space="preserve">Le spese di giudizio, liquidate nel dispositivo, seguono la soccombenza. </w:t>
      </w:r>
    </w:p>
    <w:p w:rsidR="008B3F4B" w:rsidRPr="008B3F4B" w:rsidRDefault="008B3F4B" w:rsidP="008B3F4B">
      <w:pPr>
        <w:spacing w:after="265"/>
        <w:jc w:val="center"/>
        <w:rPr>
          <w:rFonts w:asciiTheme="minorHAnsi" w:eastAsia="Times New Roman" w:hAnsiTheme="minorHAnsi" w:cstheme="minorHAnsi"/>
          <w:color w:val="3D3B39"/>
          <w:lang w:eastAsia="it-IT"/>
        </w:rPr>
      </w:pPr>
      <w:r w:rsidRPr="008B3F4B">
        <w:rPr>
          <w:rFonts w:asciiTheme="minorHAnsi" w:eastAsia="Times New Roman" w:hAnsiTheme="minorHAnsi" w:cstheme="minorHAnsi"/>
          <w:b/>
          <w:bCs/>
          <w:color w:val="3D3B39"/>
          <w:lang w:eastAsia="it-IT"/>
        </w:rPr>
        <w:t>P.Q.M.</w:t>
      </w:r>
    </w:p>
    <w:p w:rsidR="008B3F4B" w:rsidRPr="008B3F4B" w:rsidRDefault="008B3F4B" w:rsidP="008B3F4B">
      <w:pPr>
        <w:spacing w:after="265"/>
        <w:rPr>
          <w:rFonts w:asciiTheme="minorHAnsi" w:eastAsia="Times New Roman" w:hAnsiTheme="minorHAnsi" w:cstheme="minorHAnsi"/>
          <w:color w:val="3D3B39"/>
          <w:lang w:eastAsia="it-IT"/>
        </w:rPr>
      </w:pPr>
      <w:r w:rsidRPr="008B3F4B">
        <w:rPr>
          <w:rFonts w:asciiTheme="minorHAnsi" w:eastAsia="Times New Roman" w:hAnsiTheme="minorHAnsi" w:cstheme="minorHAnsi"/>
          <w:color w:val="3D3B39"/>
          <w:lang w:eastAsia="it-IT"/>
        </w:rPr>
        <w:t xml:space="preserve">Il Tribunale Amministrativo Regionale per il Lazio (Sezione Terza Quater), definitivamente pronunciando sul ricorso, come in epigrafe proposto, lo respinge. </w:t>
      </w:r>
      <w:r w:rsidRPr="008B3F4B">
        <w:rPr>
          <w:rFonts w:asciiTheme="minorHAnsi" w:eastAsia="Times New Roman" w:hAnsiTheme="minorHAnsi" w:cstheme="minorHAnsi"/>
          <w:color w:val="3D3B39"/>
          <w:lang w:eastAsia="it-IT"/>
        </w:rPr>
        <w:br/>
        <w:t xml:space="preserve">Condanna la società ricorrente al pagamento delle spese di giudizio, liquidate in € 5.000,00 (cinquemila/00), oltre accessori, di cui € 2.500,00 (duemilacinquecento/00) in favore della Azienda Unità Sanitaria Locale Roma 2 ed € 2.500,00 (duemilacinquecento/00) in favore della società OMISSIS </w:t>
      </w:r>
      <w:proofErr w:type="spellStart"/>
      <w:r w:rsidRPr="008B3F4B">
        <w:rPr>
          <w:rFonts w:asciiTheme="minorHAnsi" w:eastAsia="Times New Roman" w:hAnsiTheme="minorHAnsi" w:cstheme="minorHAnsi"/>
          <w:color w:val="3D3B39"/>
          <w:lang w:eastAsia="it-IT"/>
        </w:rPr>
        <w:t>s.p.a.</w:t>
      </w:r>
      <w:proofErr w:type="spellEnd"/>
      <w:r w:rsidRPr="008B3F4B">
        <w:rPr>
          <w:rFonts w:asciiTheme="minorHAnsi" w:eastAsia="Times New Roman" w:hAnsiTheme="minorHAnsi" w:cstheme="minorHAnsi"/>
          <w:color w:val="3D3B39"/>
          <w:lang w:eastAsia="it-IT"/>
        </w:rPr>
        <w:t xml:space="preserve"> </w:t>
      </w:r>
      <w:r w:rsidRPr="008B3F4B">
        <w:rPr>
          <w:rFonts w:asciiTheme="minorHAnsi" w:eastAsia="Times New Roman" w:hAnsiTheme="minorHAnsi" w:cstheme="minorHAnsi"/>
          <w:color w:val="3D3B39"/>
          <w:lang w:eastAsia="it-IT"/>
        </w:rPr>
        <w:br/>
        <w:t xml:space="preserve">Ordina che la presente sentenza sia eseguita dall'autorità amministrativa. </w:t>
      </w:r>
      <w:r w:rsidRPr="008B3F4B">
        <w:rPr>
          <w:rFonts w:asciiTheme="minorHAnsi" w:eastAsia="Times New Roman" w:hAnsiTheme="minorHAnsi" w:cstheme="minorHAnsi"/>
          <w:color w:val="3D3B39"/>
          <w:lang w:eastAsia="it-IT"/>
        </w:rPr>
        <w:br/>
        <w:t xml:space="preserve">Così deciso in Roma nella camera di consiglio del giorno 26 marzo 2019 con l'intervento dei magistrati: </w:t>
      </w:r>
      <w:r w:rsidRPr="008B3F4B">
        <w:rPr>
          <w:rFonts w:asciiTheme="minorHAnsi" w:eastAsia="Times New Roman" w:hAnsiTheme="minorHAnsi" w:cstheme="minorHAnsi"/>
          <w:color w:val="3D3B39"/>
          <w:lang w:eastAsia="it-IT"/>
        </w:rPr>
        <w:br/>
        <w:t xml:space="preserve">Riccardo Savoia, Presidente </w:t>
      </w:r>
      <w:r w:rsidRPr="008B3F4B">
        <w:rPr>
          <w:rFonts w:asciiTheme="minorHAnsi" w:eastAsia="Times New Roman" w:hAnsiTheme="minorHAnsi" w:cstheme="minorHAnsi"/>
          <w:color w:val="3D3B39"/>
          <w:lang w:eastAsia="it-IT"/>
        </w:rPr>
        <w:br/>
        <w:t xml:space="preserve">Pierina Biancofiore, Consigliere </w:t>
      </w:r>
      <w:r w:rsidRPr="008B3F4B">
        <w:rPr>
          <w:rFonts w:asciiTheme="minorHAnsi" w:eastAsia="Times New Roman" w:hAnsiTheme="minorHAnsi" w:cstheme="minorHAnsi"/>
          <w:color w:val="3D3B39"/>
          <w:lang w:eastAsia="it-IT"/>
        </w:rPr>
        <w:br/>
        <w:t xml:space="preserve">Paolo Marotta, Consigliere, Estensore </w:t>
      </w:r>
    </w:p>
    <w:p w:rsidR="008B3F4B" w:rsidRPr="008B3F4B" w:rsidRDefault="008B3F4B" w:rsidP="008B3F4B">
      <w:pPr>
        <w:spacing w:after="265"/>
        <w:rPr>
          <w:rFonts w:asciiTheme="minorHAnsi" w:eastAsia="Times New Roman" w:hAnsiTheme="minorHAnsi" w:cstheme="minorHAnsi"/>
          <w:color w:val="3D3B39"/>
          <w:lang w:eastAsia="it-IT"/>
        </w:rPr>
      </w:pPr>
      <w:r w:rsidRPr="008B3F4B">
        <w:rPr>
          <w:rFonts w:asciiTheme="minorHAnsi" w:eastAsia="Times New Roman" w:hAnsiTheme="minorHAnsi" w:cstheme="minorHAnsi"/>
          <w:color w:val="3D3B39"/>
          <w:lang w:eastAsia="it-IT"/>
        </w:rPr>
        <w:lastRenderedPageBreak/>
        <w:t xml:space="preserve">Pubblicato il 14/05/2019 </w:t>
      </w:r>
      <w:r w:rsidRPr="008B3F4B">
        <w:rPr>
          <w:rFonts w:asciiTheme="minorHAnsi" w:eastAsia="Times New Roman" w:hAnsiTheme="minorHAnsi" w:cstheme="minorHAnsi"/>
          <w:color w:val="3D3B39"/>
          <w:lang w:eastAsia="it-IT"/>
        </w:rPr>
        <w:br/>
      </w:r>
      <w:r w:rsidRPr="008B3F4B">
        <w:rPr>
          <w:rFonts w:asciiTheme="minorHAnsi" w:eastAsia="Times New Roman" w:hAnsiTheme="minorHAnsi" w:cstheme="minorHAnsi"/>
          <w:b/>
          <w:bCs/>
          <w:color w:val="3D3B39"/>
          <w:lang w:eastAsia="it-IT"/>
        </w:rPr>
        <w:t>N. 00775/2019 REG.PROV.COLL.</w:t>
      </w:r>
      <w:r w:rsidRPr="008B3F4B">
        <w:rPr>
          <w:rFonts w:asciiTheme="minorHAnsi" w:eastAsia="Times New Roman" w:hAnsiTheme="minorHAnsi" w:cstheme="minorHAnsi"/>
          <w:color w:val="3D3B39"/>
          <w:lang w:eastAsia="it-IT"/>
        </w:rPr>
        <w:t xml:space="preserve"> </w:t>
      </w:r>
      <w:r w:rsidRPr="008B3F4B">
        <w:rPr>
          <w:rFonts w:asciiTheme="minorHAnsi" w:eastAsia="Times New Roman" w:hAnsiTheme="minorHAnsi" w:cstheme="minorHAnsi"/>
          <w:color w:val="3D3B39"/>
          <w:lang w:eastAsia="it-IT"/>
        </w:rPr>
        <w:br/>
      </w:r>
      <w:r w:rsidRPr="008B3F4B">
        <w:rPr>
          <w:rFonts w:asciiTheme="minorHAnsi" w:eastAsia="Times New Roman" w:hAnsiTheme="minorHAnsi" w:cstheme="minorHAnsi"/>
          <w:b/>
          <w:bCs/>
          <w:color w:val="3D3B39"/>
          <w:lang w:eastAsia="it-IT"/>
        </w:rPr>
        <w:t>N. 00424/2019 REG.RIC.</w:t>
      </w:r>
    </w:p>
    <w:p w:rsidR="008B3F4B" w:rsidRPr="008B3F4B" w:rsidRDefault="008B3F4B" w:rsidP="008B3F4B">
      <w:pPr>
        <w:spacing w:after="265"/>
        <w:rPr>
          <w:rFonts w:asciiTheme="minorHAnsi" w:eastAsia="Times New Roman" w:hAnsiTheme="minorHAnsi" w:cstheme="minorHAnsi"/>
          <w:color w:val="3D3B39"/>
          <w:lang w:eastAsia="it-IT"/>
        </w:rPr>
      </w:pPr>
      <w:r w:rsidRPr="008B3F4B">
        <w:rPr>
          <w:rFonts w:asciiTheme="minorHAnsi" w:eastAsia="Times New Roman" w:hAnsiTheme="minorHAnsi" w:cstheme="minorHAnsi"/>
          <w:b/>
          <w:bCs/>
          <w:color w:val="3D3B39"/>
          <w:lang w:eastAsia="it-IT"/>
        </w:rPr>
        <w:t>REPUBBLICA ITALIANA</w:t>
      </w:r>
      <w:r w:rsidRPr="008B3F4B">
        <w:rPr>
          <w:rFonts w:asciiTheme="minorHAnsi" w:eastAsia="Times New Roman" w:hAnsiTheme="minorHAnsi" w:cstheme="minorHAnsi"/>
          <w:color w:val="3D3B39"/>
          <w:lang w:eastAsia="it-IT"/>
        </w:rPr>
        <w:t xml:space="preserve"> </w:t>
      </w:r>
      <w:r w:rsidRPr="008B3F4B">
        <w:rPr>
          <w:rFonts w:asciiTheme="minorHAnsi" w:eastAsia="Times New Roman" w:hAnsiTheme="minorHAnsi" w:cstheme="minorHAnsi"/>
          <w:color w:val="3D3B39"/>
          <w:lang w:eastAsia="it-IT"/>
        </w:rPr>
        <w:br/>
      </w:r>
      <w:r w:rsidRPr="008B3F4B">
        <w:rPr>
          <w:rFonts w:asciiTheme="minorHAnsi" w:eastAsia="Times New Roman" w:hAnsiTheme="minorHAnsi" w:cstheme="minorHAnsi"/>
          <w:b/>
          <w:bCs/>
          <w:color w:val="3D3B39"/>
          <w:lang w:eastAsia="it-IT"/>
        </w:rPr>
        <w:t>IN NOME DEL POPOLO ITALIANO</w:t>
      </w:r>
      <w:r w:rsidRPr="008B3F4B">
        <w:rPr>
          <w:rFonts w:asciiTheme="minorHAnsi" w:eastAsia="Times New Roman" w:hAnsiTheme="minorHAnsi" w:cstheme="minorHAnsi"/>
          <w:color w:val="3D3B39"/>
          <w:lang w:eastAsia="it-IT"/>
        </w:rPr>
        <w:t xml:space="preserve"> </w:t>
      </w:r>
      <w:r w:rsidRPr="008B3F4B">
        <w:rPr>
          <w:rFonts w:asciiTheme="minorHAnsi" w:eastAsia="Times New Roman" w:hAnsiTheme="minorHAnsi" w:cstheme="minorHAnsi"/>
          <w:color w:val="3D3B39"/>
          <w:lang w:eastAsia="it-IT"/>
        </w:rPr>
        <w:br/>
      </w:r>
      <w:r w:rsidRPr="008B3F4B">
        <w:rPr>
          <w:rFonts w:asciiTheme="minorHAnsi" w:eastAsia="Times New Roman" w:hAnsiTheme="minorHAnsi" w:cstheme="minorHAnsi"/>
          <w:b/>
          <w:bCs/>
          <w:color w:val="3D3B39"/>
          <w:lang w:eastAsia="it-IT"/>
        </w:rPr>
        <w:t>Il Tribunale Amministrativo Regionale per la Puglia</w:t>
      </w:r>
      <w:r w:rsidRPr="008B3F4B">
        <w:rPr>
          <w:rFonts w:asciiTheme="minorHAnsi" w:eastAsia="Times New Roman" w:hAnsiTheme="minorHAnsi" w:cstheme="minorHAnsi"/>
          <w:color w:val="3D3B39"/>
          <w:lang w:eastAsia="it-IT"/>
        </w:rPr>
        <w:t xml:space="preserve"> </w:t>
      </w:r>
      <w:r w:rsidRPr="008B3F4B">
        <w:rPr>
          <w:rFonts w:asciiTheme="minorHAnsi" w:eastAsia="Times New Roman" w:hAnsiTheme="minorHAnsi" w:cstheme="minorHAnsi"/>
          <w:color w:val="3D3B39"/>
          <w:lang w:eastAsia="it-IT"/>
        </w:rPr>
        <w:br/>
      </w:r>
      <w:r w:rsidRPr="008B3F4B">
        <w:rPr>
          <w:rFonts w:asciiTheme="minorHAnsi" w:eastAsia="Times New Roman" w:hAnsiTheme="minorHAnsi" w:cstheme="minorHAnsi"/>
          <w:b/>
          <w:bCs/>
          <w:color w:val="3D3B39"/>
          <w:lang w:eastAsia="it-IT"/>
        </w:rPr>
        <w:t>Lecce - Sezione Seconda</w:t>
      </w:r>
      <w:r w:rsidRPr="008B3F4B">
        <w:rPr>
          <w:rFonts w:asciiTheme="minorHAnsi" w:eastAsia="Times New Roman" w:hAnsiTheme="minorHAnsi" w:cstheme="minorHAnsi"/>
          <w:color w:val="3D3B39"/>
          <w:lang w:eastAsia="it-IT"/>
        </w:rPr>
        <w:t xml:space="preserve"> </w:t>
      </w:r>
      <w:r w:rsidRPr="008B3F4B">
        <w:rPr>
          <w:rFonts w:asciiTheme="minorHAnsi" w:eastAsia="Times New Roman" w:hAnsiTheme="minorHAnsi" w:cstheme="minorHAnsi"/>
          <w:color w:val="3D3B39"/>
          <w:lang w:eastAsia="it-IT"/>
        </w:rPr>
        <w:br/>
        <w:t xml:space="preserve">ha pronunciato la presente </w:t>
      </w:r>
    </w:p>
    <w:p w:rsidR="008B3F4B" w:rsidRPr="008B3F4B" w:rsidRDefault="008B3F4B" w:rsidP="008B3F4B">
      <w:pPr>
        <w:spacing w:after="265"/>
        <w:rPr>
          <w:rFonts w:asciiTheme="minorHAnsi" w:eastAsia="Times New Roman" w:hAnsiTheme="minorHAnsi" w:cstheme="minorHAnsi"/>
          <w:color w:val="3D3B39"/>
          <w:lang w:eastAsia="it-IT"/>
        </w:rPr>
      </w:pPr>
      <w:r w:rsidRPr="008B3F4B">
        <w:rPr>
          <w:rFonts w:asciiTheme="minorHAnsi" w:eastAsia="Times New Roman" w:hAnsiTheme="minorHAnsi" w:cstheme="minorHAnsi"/>
          <w:b/>
          <w:bCs/>
          <w:color w:val="3D3B39"/>
          <w:lang w:eastAsia="it-IT"/>
        </w:rPr>
        <w:t>SENTENZA</w:t>
      </w:r>
      <w:r w:rsidRPr="008B3F4B">
        <w:rPr>
          <w:rFonts w:asciiTheme="minorHAnsi" w:eastAsia="Times New Roman" w:hAnsiTheme="minorHAnsi" w:cstheme="minorHAnsi"/>
          <w:color w:val="3D3B39"/>
          <w:lang w:eastAsia="it-IT"/>
        </w:rPr>
        <w:t xml:space="preserve"> </w:t>
      </w:r>
    </w:p>
    <w:p w:rsidR="008B3F4B" w:rsidRPr="008B3F4B" w:rsidRDefault="008B3F4B" w:rsidP="008B3F4B">
      <w:pPr>
        <w:spacing w:after="265"/>
        <w:rPr>
          <w:rFonts w:asciiTheme="minorHAnsi" w:eastAsia="Times New Roman" w:hAnsiTheme="minorHAnsi" w:cstheme="minorHAnsi"/>
          <w:color w:val="3D3B39"/>
          <w:lang w:eastAsia="it-IT"/>
        </w:rPr>
      </w:pPr>
      <w:r w:rsidRPr="008B3F4B">
        <w:rPr>
          <w:rFonts w:asciiTheme="minorHAnsi" w:eastAsia="Times New Roman" w:hAnsiTheme="minorHAnsi" w:cstheme="minorHAnsi"/>
          <w:i/>
          <w:iCs/>
          <w:color w:val="3D3B39"/>
          <w:lang w:eastAsia="it-IT"/>
        </w:rPr>
        <w:t>ex </w:t>
      </w:r>
      <w:r w:rsidRPr="008B3F4B">
        <w:rPr>
          <w:rFonts w:asciiTheme="minorHAnsi" w:eastAsia="Times New Roman" w:hAnsiTheme="minorHAnsi" w:cstheme="minorHAnsi"/>
          <w:color w:val="3D3B39"/>
          <w:lang w:eastAsia="it-IT"/>
        </w:rPr>
        <w:t xml:space="preserve">art. 60 cod. </w:t>
      </w:r>
      <w:proofErr w:type="spellStart"/>
      <w:r w:rsidRPr="008B3F4B">
        <w:rPr>
          <w:rFonts w:asciiTheme="minorHAnsi" w:eastAsia="Times New Roman" w:hAnsiTheme="minorHAnsi" w:cstheme="minorHAnsi"/>
          <w:color w:val="3D3B39"/>
          <w:lang w:eastAsia="it-IT"/>
        </w:rPr>
        <w:t>proc</w:t>
      </w:r>
      <w:proofErr w:type="spellEnd"/>
      <w:r w:rsidRPr="008B3F4B">
        <w:rPr>
          <w:rFonts w:asciiTheme="minorHAnsi" w:eastAsia="Times New Roman" w:hAnsiTheme="minorHAnsi" w:cstheme="minorHAnsi"/>
          <w:color w:val="3D3B39"/>
          <w:lang w:eastAsia="it-IT"/>
        </w:rPr>
        <w:t xml:space="preserve">. </w:t>
      </w:r>
      <w:proofErr w:type="spellStart"/>
      <w:r w:rsidRPr="008B3F4B">
        <w:rPr>
          <w:rFonts w:asciiTheme="minorHAnsi" w:eastAsia="Times New Roman" w:hAnsiTheme="minorHAnsi" w:cstheme="minorHAnsi"/>
          <w:color w:val="3D3B39"/>
          <w:lang w:eastAsia="it-IT"/>
        </w:rPr>
        <w:t>amm</w:t>
      </w:r>
      <w:proofErr w:type="spellEnd"/>
      <w:r w:rsidRPr="008B3F4B">
        <w:rPr>
          <w:rFonts w:asciiTheme="minorHAnsi" w:eastAsia="Times New Roman" w:hAnsiTheme="minorHAnsi" w:cstheme="minorHAnsi"/>
          <w:color w:val="3D3B39"/>
          <w:lang w:eastAsia="it-IT"/>
        </w:rPr>
        <w:t>.;</w:t>
      </w:r>
      <w:r w:rsidRPr="008B3F4B">
        <w:rPr>
          <w:rFonts w:asciiTheme="minorHAnsi" w:eastAsia="Times New Roman" w:hAnsiTheme="minorHAnsi" w:cstheme="minorHAnsi"/>
          <w:color w:val="3D3B39"/>
          <w:lang w:eastAsia="it-IT"/>
        </w:rPr>
        <w:br/>
        <w:t>sul ricorso numero di registro generale 424 del 2019, proposto da </w:t>
      </w:r>
      <w:r w:rsidRPr="008B3F4B">
        <w:rPr>
          <w:rFonts w:asciiTheme="minorHAnsi" w:eastAsia="Times New Roman" w:hAnsiTheme="minorHAnsi" w:cstheme="minorHAnsi"/>
          <w:color w:val="3D3B39"/>
          <w:lang w:eastAsia="it-IT"/>
        </w:rPr>
        <w:br/>
        <w:t xml:space="preserve">OMISSIS S.r.l., in persona del legale rappresentante </w:t>
      </w:r>
      <w:proofErr w:type="spellStart"/>
      <w:r w:rsidRPr="008B3F4B">
        <w:rPr>
          <w:rFonts w:asciiTheme="minorHAnsi" w:eastAsia="Times New Roman" w:hAnsiTheme="minorHAnsi" w:cstheme="minorHAnsi"/>
          <w:color w:val="3D3B39"/>
          <w:lang w:eastAsia="it-IT"/>
        </w:rPr>
        <w:t>p.t.</w:t>
      </w:r>
      <w:proofErr w:type="spellEnd"/>
      <w:r w:rsidRPr="008B3F4B">
        <w:rPr>
          <w:rFonts w:asciiTheme="minorHAnsi" w:eastAsia="Times New Roman" w:hAnsiTheme="minorHAnsi" w:cstheme="minorHAnsi"/>
          <w:color w:val="3D3B39"/>
          <w:lang w:eastAsia="it-IT"/>
        </w:rPr>
        <w:t xml:space="preserve">, rappresentato e difeso dagli avvocati OMISSIS;  </w:t>
      </w:r>
      <w:r w:rsidRPr="008B3F4B">
        <w:rPr>
          <w:rFonts w:asciiTheme="minorHAnsi" w:eastAsia="Times New Roman" w:hAnsiTheme="minorHAnsi" w:cstheme="minorHAnsi"/>
          <w:color w:val="3D3B39"/>
          <w:lang w:eastAsia="it-IT"/>
        </w:rPr>
        <w:br/>
      </w:r>
      <w:r w:rsidRPr="008B3F4B">
        <w:rPr>
          <w:rFonts w:asciiTheme="minorHAnsi" w:eastAsia="Times New Roman" w:hAnsiTheme="minorHAnsi" w:cstheme="minorHAnsi"/>
          <w:b/>
          <w:bCs/>
          <w:i/>
          <w:iCs/>
          <w:color w:val="3D3B39"/>
          <w:lang w:eastAsia="it-IT"/>
        </w:rPr>
        <w:t>contro</w:t>
      </w:r>
      <w:r w:rsidRPr="008B3F4B">
        <w:rPr>
          <w:rFonts w:asciiTheme="minorHAnsi" w:eastAsia="Times New Roman" w:hAnsiTheme="minorHAnsi" w:cstheme="minorHAnsi"/>
          <w:color w:val="3D3B39"/>
          <w:lang w:eastAsia="it-IT"/>
        </w:rPr>
        <w:t xml:space="preserve"> </w:t>
      </w:r>
      <w:r w:rsidRPr="008B3F4B">
        <w:rPr>
          <w:rFonts w:asciiTheme="minorHAnsi" w:eastAsia="Times New Roman" w:hAnsiTheme="minorHAnsi" w:cstheme="minorHAnsi"/>
          <w:color w:val="3D3B39"/>
          <w:lang w:eastAsia="it-IT"/>
        </w:rPr>
        <w:br/>
        <w:t xml:space="preserve">Azienda Sanitaria Locale (ASL) di Taranto, in persona del legale rappresentante </w:t>
      </w:r>
      <w:proofErr w:type="spellStart"/>
      <w:r w:rsidRPr="008B3F4B">
        <w:rPr>
          <w:rFonts w:asciiTheme="minorHAnsi" w:eastAsia="Times New Roman" w:hAnsiTheme="minorHAnsi" w:cstheme="minorHAnsi"/>
          <w:color w:val="3D3B39"/>
          <w:lang w:eastAsia="it-IT"/>
        </w:rPr>
        <w:t>p.t.</w:t>
      </w:r>
      <w:proofErr w:type="spellEnd"/>
      <w:r w:rsidRPr="008B3F4B">
        <w:rPr>
          <w:rFonts w:asciiTheme="minorHAnsi" w:eastAsia="Times New Roman" w:hAnsiTheme="minorHAnsi" w:cstheme="minorHAnsi"/>
          <w:color w:val="3D3B39"/>
          <w:lang w:eastAsia="it-IT"/>
        </w:rPr>
        <w:t xml:space="preserve">, rappresentata e difesa dall'avvocato OMISSIS;  </w:t>
      </w:r>
      <w:r w:rsidRPr="008B3F4B">
        <w:rPr>
          <w:rFonts w:asciiTheme="minorHAnsi" w:eastAsia="Times New Roman" w:hAnsiTheme="minorHAnsi" w:cstheme="minorHAnsi"/>
          <w:color w:val="3D3B39"/>
          <w:lang w:eastAsia="it-IT"/>
        </w:rPr>
        <w:br/>
      </w:r>
      <w:r w:rsidRPr="008B3F4B">
        <w:rPr>
          <w:rFonts w:asciiTheme="minorHAnsi" w:eastAsia="Times New Roman" w:hAnsiTheme="minorHAnsi" w:cstheme="minorHAnsi"/>
          <w:b/>
          <w:bCs/>
          <w:i/>
          <w:iCs/>
          <w:color w:val="3D3B39"/>
          <w:lang w:eastAsia="it-IT"/>
        </w:rPr>
        <w:t>nei confronti</w:t>
      </w:r>
      <w:r w:rsidRPr="008B3F4B">
        <w:rPr>
          <w:rFonts w:asciiTheme="minorHAnsi" w:eastAsia="Times New Roman" w:hAnsiTheme="minorHAnsi" w:cstheme="minorHAnsi"/>
          <w:color w:val="3D3B39"/>
          <w:lang w:eastAsia="it-IT"/>
        </w:rPr>
        <w:t xml:space="preserve"> </w:t>
      </w:r>
      <w:r w:rsidRPr="008B3F4B">
        <w:rPr>
          <w:rFonts w:asciiTheme="minorHAnsi" w:eastAsia="Times New Roman" w:hAnsiTheme="minorHAnsi" w:cstheme="minorHAnsi"/>
          <w:color w:val="3D3B39"/>
          <w:lang w:eastAsia="it-IT"/>
        </w:rPr>
        <w:br/>
        <w:t>di:</w:t>
      </w:r>
      <w:r w:rsidRPr="008B3F4B">
        <w:rPr>
          <w:rFonts w:asciiTheme="minorHAnsi" w:eastAsia="Times New Roman" w:hAnsiTheme="minorHAnsi" w:cstheme="minorHAnsi"/>
          <w:color w:val="3D3B39"/>
          <w:lang w:eastAsia="it-IT"/>
        </w:rPr>
        <w:br/>
        <w:t xml:space="preserve">- OMISSIS, in persona del legale rappresentante </w:t>
      </w:r>
      <w:proofErr w:type="spellStart"/>
      <w:r w:rsidRPr="008B3F4B">
        <w:rPr>
          <w:rFonts w:asciiTheme="minorHAnsi" w:eastAsia="Times New Roman" w:hAnsiTheme="minorHAnsi" w:cstheme="minorHAnsi"/>
          <w:color w:val="3D3B39"/>
          <w:lang w:eastAsia="it-IT"/>
        </w:rPr>
        <w:t>p.t.</w:t>
      </w:r>
      <w:proofErr w:type="spellEnd"/>
      <w:r w:rsidRPr="008B3F4B">
        <w:rPr>
          <w:rFonts w:asciiTheme="minorHAnsi" w:eastAsia="Times New Roman" w:hAnsiTheme="minorHAnsi" w:cstheme="minorHAnsi"/>
          <w:color w:val="3D3B39"/>
          <w:lang w:eastAsia="it-IT"/>
        </w:rPr>
        <w:t>, non costituita in giudizio; </w:t>
      </w:r>
      <w:r w:rsidRPr="008B3F4B">
        <w:rPr>
          <w:rFonts w:asciiTheme="minorHAnsi" w:eastAsia="Times New Roman" w:hAnsiTheme="minorHAnsi" w:cstheme="minorHAnsi"/>
          <w:color w:val="3D3B39"/>
          <w:lang w:eastAsia="it-IT"/>
        </w:rPr>
        <w:br/>
        <w:t xml:space="preserve">- ANAC, Autorità Nazionale Anticorruzione, in persona del legale rappresentante </w:t>
      </w:r>
      <w:proofErr w:type="spellStart"/>
      <w:r w:rsidRPr="008B3F4B">
        <w:rPr>
          <w:rFonts w:asciiTheme="minorHAnsi" w:eastAsia="Times New Roman" w:hAnsiTheme="minorHAnsi" w:cstheme="minorHAnsi"/>
          <w:color w:val="3D3B39"/>
          <w:lang w:eastAsia="it-IT"/>
        </w:rPr>
        <w:t>p.t.</w:t>
      </w:r>
      <w:proofErr w:type="spellEnd"/>
      <w:r w:rsidRPr="008B3F4B">
        <w:rPr>
          <w:rFonts w:asciiTheme="minorHAnsi" w:eastAsia="Times New Roman" w:hAnsiTheme="minorHAnsi" w:cstheme="minorHAnsi"/>
          <w:color w:val="3D3B39"/>
          <w:lang w:eastAsia="it-IT"/>
        </w:rPr>
        <w:t>, rappresentata e difesa, </w:t>
      </w:r>
      <w:r w:rsidRPr="008B3F4B">
        <w:rPr>
          <w:rFonts w:asciiTheme="minorHAnsi" w:eastAsia="Times New Roman" w:hAnsiTheme="minorHAnsi" w:cstheme="minorHAnsi"/>
          <w:i/>
          <w:iCs/>
          <w:color w:val="3D3B39"/>
          <w:lang w:eastAsia="it-IT"/>
        </w:rPr>
        <w:t xml:space="preserve">ex </w:t>
      </w:r>
      <w:proofErr w:type="spellStart"/>
      <w:r w:rsidRPr="008B3F4B">
        <w:rPr>
          <w:rFonts w:asciiTheme="minorHAnsi" w:eastAsia="Times New Roman" w:hAnsiTheme="minorHAnsi" w:cstheme="minorHAnsi"/>
          <w:i/>
          <w:iCs/>
          <w:color w:val="3D3B39"/>
          <w:lang w:eastAsia="it-IT"/>
        </w:rPr>
        <w:t>lege</w:t>
      </w:r>
      <w:proofErr w:type="spellEnd"/>
      <w:r w:rsidRPr="008B3F4B">
        <w:rPr>
          <w:rFonts w:asciiTheme="minorHAnsi" w:eastAsia="Times New Roman" w:hAnsiTheme="minorHAnsi" w:cstheme="minorHAnsi"/>
          <w:color w:val="3D3B39"/>
          <w:lang w:eastAsia="it-IT"/>
        </w:rPr>
        <w:t>, dall'Avvocatura Distrettuale dello Stato di Lecce, presso la medesima per legge domiciliata; </w:t>
      </w:r>
      <w:r w:rsidRPr="008B3F4B">
        <w:rPr>
          <w:rFonts w:asciiTheme="minorHAnsi" w:eastAsia="Times New Roman" w:hAnsiTheme="minorHAnsi" w:cstheme="minorHAnsi"/>
          <w:color w:val="3D3B39"/>
          <w:lang w:eastAsia="it-IT"/>
        </w:rPr>
        <w:br/>
        <w:t xml:space="preserve">- OMISSIS S.p.A., in persona del legale rappresentante </w:t>
      </w:r>
      <w:proofErr w:type="spellStart"/>
      <w:r w:rsidRPr="008B3F4B">
        <w:rPr>
          <w:rFonts w:asciiTheme="minorHAnsi" w:eastAsia="Times New Roman" w:hAnsiTheme="minorHAnsi" w:cstheme="minorHAnsi"/>
          <w:color w:val="3D3B39"/>
          <w:lang w:eastAsia="it-IT"/>
        </w:rPr>
        <w:t>p.t.</w:t>
      </w:r>
      <w:proofErr w:type="spellEnd"/>
      <w:r w:rsidRPr="008B3F4B">
        <w:rPr>
          <w:rFonts w:asciiTheme="minorHAnsi" w:eastAsia="Times New Roman" w:hAnsiTheme="minorHAnsi" w:cstheme="minorHAnsi"/>
          <w:color w:val="3D3B39"/>
          <w:lang w:eastAsia="it-IT"/>
        </w:rPr>
        <w:t xml:space="preserve">, non costituita in giudizio;  </w:t>
      </w:r>
      <w:r w:rsidRPr="008B3F4B">
        <w:rPr>
          <w:rFonts w:asciiTheme="minorHAnsi" w:eastAsia="Times New Roman" w:hAnsiTheme="minorHAnsi" w:cstheme="minorHAnsi"/>
          <w:color w:val="3D3B39"/>
          <w:lang w:eastAsia="it-IT"/>
        </w:rPr>
        <w:br/>
      </w:r>
      <w:r w:rsidRPr="008B3F4B">
        <w:rPr>
          <w:rFonts w:asciiTheme="minorHAnsi" w:eastAsia="Times New Roman" w:hAnsiTheme="minorHAnsi" w:cstheme="minorHAnsi"/>
          <w:b/>
          <w:bCs/>
          <w:i/>
          <w:iCs/>
          <w:color w:val="3D3B39"/>
          <w:lang w:eastAsia="it-IT"/>
        </w:rPr>
        <w:t>per l'annullamento</w:t>
      </w:r>
      <w:r w:rsidRPr="008B3F4B">
        <w:rPr>
          <w:rFonts w:asciiTheme="minorHAnsi" w:eastAsia="Times New Roman" w:hAnsiTheme="minorHAnsi" w:cstheme="minorHAnsi"/>
          <w:color w:val="3D3B39"/>
          <w:lang w:eastAsia="it-IT"/>
        </w:rPr>
        <w:t xml:space="preserve"> </w:t>
      </w:r>
      <w:r w:rsidRPr="008B3F4B">
        <w:rPr>
          <w:rFonts w:asciiTheme="minorHAnsi" w:eastAsia="Times New Roman" w:hAnsiTheme="minorHAnsi" w:cstheme="minorHAnsi"/>
          <w:color w:val="3D3B39"/>
          <w:lang w:eastAsia="it-IT"/>
        </w:rPr>
        <w:br/>
        <w:t>- della Determinazione Dirigenziale n. 257-2019, pubblicata sull’Albo Pretorio dell’ASL Taranto in data 22 febbraio 2019, notificata in data 25 febbraio 2019, limitatamente al lotto n. 5, per il cui tramite veniva disposta l’esclusione della ricorrente “</w:t>
      </w:r>
      <w:r w:rsidRPr="008B3F4B">
        <w:rPr>
          <w:rFonts w:asciiTheme="minorHAnsi" w:eastAsia="Times New Roman" w:hAnsiTheme="minorHAnsi" w:cstheme="minorHAnsi"/>
          <w:i/>
          <w:iCs/>
          <w:color w:val="3D3B39"/>
          <w:lang w:eastAsia="it-IT"/>
        </w:rPr>
        <w:t>dalla procedura di gara aperta per l’affidamento in concessione del servizio di gestione dei Bar e Punti Ristoro presso diverse sedi dell’Azienda Locale Taranto – dell’operatore economico SJD Società Distributori Jonica s.r.l.</w:t>
      </w:r>
      <w:r w:rsidRPr="008B3F4B">
        <w:rPr>
          <w:rFonts w:asciiTheme="minorHAnsi" w:eastAsia="Times New Roman" w:hAnsiTheme="minorHAnsi" w:cstheme="minorHAnsi"/>
          <w:color w:val="3D3B39"/>
          <w:lang w:eastAsia="it-IT"/>
        </w:rPr>
        <w:t>”, contestualmente determinando di provvedere “</w:t>
      </w:r>
      <w:r w:rsidRPr="008B3F4B">
        <w:rPr>
          <w:rFonts w:asciiTheme="minorHAnsi" w:eastAsia="Times New Roman" w:hAnsiTheme="minorHAnsi" w:cstheme="minorHAnsi"/>
          <w:i/>
          <w:iCs/>
          <w:color w:val="3D3B39"/>
          <w:lang w:eastAsia="it-IT"/>
        </w:rPr>
        <w:t>all’escussione della polizza provvisoria presentata in sede di gara dalla SJD Società Distributori Jonica s.r.l. per il lotto n. 2 – n. 380594558 del 18/10/2018, per il lotto n. 3 – n. 380594562 del 18/10/2018, per il lotto n. 4 n. 380594563 del 18/10/2018 e per il lotto n. 5 n. 380594564 del 18/10/2018, rilasciata dalla compagnia di assicurazione OMISSIS S.p.A.</w:t>
      </w:r>
      <w:r w:rsidRPr="008B3F4B">
        <w:rPr>
          <w:rFonts w:asciiTheme="minorHAnsi" w:eastAsia="Times New Roman" w:hAnsiTheme="minorHAnsi" w:cstheme="minorHAnsi"/>
          <w:color w:val="3D3B39"/>
          <w:lang w:eastAsia="it-IT"/>
        </w:rPr>
        <w:t>”, nonché di procedere “</w:t>
      </w:r>
      <w:r w:rsidRPr="008B3F4B">
        <w:rPr>
          <w:rFonts w:asciiTheme="minorHAnsi" w:eastAsia="Times New Roman" w:hAnsiTheme="minorHAnsi" w:cstheme="minorHAnsi"/>
          <w:i/>
          <w:iCs/>
          <w:color w:val="3D3B39"/>
          <w:lang w:eastAsia="it-IT"/>
        </w:rPr>
        <w:t>alla segnalazione all’ANAC ed alla Procura della Repubblica, c/o il Tribunale di Taranto</w:t>
      </w:r>
      <w:r w:rsidRPr="008B3F4B">
        <w:rPr>
          <w:rFonts w:asciiTheme="minorHAnsi" w:eastAsia="Times New Roman" w:hAnsiTheme="minorHAnsi" w:cstheme="minorHAnsi"/>
          <w:color w:val="3D3B39"/>
          <w:lang w:eastAsia="it-IT"/>
        </w:rPr>
        <w:t xml:space="preserve">”; </w:t>
      </w:r>
      <w:r w:rsidRPr="008B3F4B">
        <w:rPr>
          <w:rFonts w:asciiTheme="minorHAnsi" w:eastAsia="Times New Roman" w:hAnsiTheme="minorHAnsi" w:cstheme="minorHAnsi"/>
          <w:color w:val="3D3B39"/>
          <w:lang w:eastAsia="it-IT"/>
        </w:rPr>
        <w:br/>
        <w:t xml:space="preserve">- della nota </w:t>
      </w:r>
      <w:proofErr w:type="spellStart"/>
      <w:r w:rsidRPr="008B3F4B">
        <w:rPr>
          <w:rFonts w:asciiTheme="minorHAnsi" w:eastAsia="Times New Roman" w:hAnsiTheme="minorHAnsi" w:cstheme="minorHAnsi"/>
          <w:color w:val="3D3B39"/>
          <w:lang w:eastAsia="it-IT"/>
        </w:rPr>
        <w:t>Prot</w:t>
      </w:r>
      <w:proofErr w:type="spellEnd"/>
      <w:r w:rsidRPr="008B3F4B">
        <w:rPr>
          <w:rFonts w:asciiTheme="minorHAnsi" w:eastAsia="Times New Roman" w:hAnsiTheme="minorHAnsi" w:cstheme="minorHAnsi"/>
          <w:color w:val="3D3B39"/>
          <w:lang w:eastAsia="it-IT"/>
        </w:rPr>
        <w:t>. n. 0045344 del 7 marzo 2019 dell’ASL Taranto di segnalazione all’ANAC “</w:t>
      </w:r>
      <w:r w:rsidRPr="008B3F4B">
        <w:rPr>
          <w:rFonts w:asciiTheme="minorHAnsi" w:eastAsia="Times New Roman" w:hAnsiTheme="minorHAnsi" w:cstheme="minorHAnsi"/>
          <w:i/>
          <w:iCs/>
          <w:color w:val="3D3B39"/>
          <w:lang w:eastAsia="it-IT"/>
        </w:rPr>
        <w:t>ai sensi dell’art. 80, comma 12, del d.lgs. n. 50/2016 (nuovo codice) e per gli effetti previsti da tale norma e dall’art. 213, comma 13, del nuovo codice, per la falsa dichiarazione o falsa documentazione, rese nelle procedure di subappalto, in merito al possesso dei requisiti speciali</w:t>
      </w:r>
      <w:r w:rsidRPr="008B3F4B">
        <w:rPr>
          <w:rFonts w:asciiTheme="minorHAnsi" w:eastAsia="Times New Roman" w:hAnsiTheme="minorHAnsi" w:cstheme="minorHAnsi"/>
          <w:color w:val="3D3B39"/>
          <w:lang w:eastAsia="it-IT"/>
        </w:rPr>
        <w:t xml:space="preserve">”; </w:t>
      </w:r>
      <w:r w:rsidRPr="008B3F4B">
        <w:rPr>
          <w:rFonts w:asciiTheme="minorHAnsi" w:eastAsia="Times New Roman" w:hAnsiTheme="minorHAnsi" w:cstheme="minorHAnsi"/>
          <w:color w:val="3D3B39"/>
          <w:lang w:eastAsia="it-IT"/>
        </w:rPr>
        <w:br/>
        <w:t xml:space="preserve">- della nota </w:t>
      </w:r>
      <w:proofErr w:type="spellStart"/>
      <w:r w:rsidRPr="008B3F4B">
        <w:rPr>
          <w:rFonts w:asciiTheme="minorHAnsi" w:eastAsia="Times New Roman" w:hAnsiTheme="minorHAnsi" w:cstheme="minorHAnsi"/>
          <w:color w:val="3D3B39"/>
          <w:lang w:eastAsia="it-IT"/>
        </w:rPr>
        <w:t>Prot</w:t>
      </w:r>
      <w:proofErr w:type="spellEnd"/>
      <w:r w:rsidRPr="008B3F4B">
        <w:rPr>
          <w:rFonts w:asciiTheme="minorHAnsi" w:eastAsia="Times New Roman" w:hAnsiTheme="minorHAnsi" w:cstheme="minorHAnsi"/>
          <w:color w:val="3D3B39"/>
          <w:lang w:eastAsia="it-IT"/>
        </w:rPr>
        <w:t>. n. 0038708 del 26 febbraio 2019 dell’ASL Taranto di richiesta alla Compagnia Assicuratrice della ricorrente della “</w:t>
      </w:r>
      <w:r w:rsidRPr="008B3F4B">
        <w:rPr>
          <w:rFonts w:asciiTheme="minorHAnsi" w:eastAsia="Times New Roman" w:hAnsiTheme="minorHAnsi" w:cstheme="minorHAnsi"/>
          <w:i/>
          <w:iCs/>
          <w:color w:val="3D3B39"/>
          <w:lang w:eastAsia="it-IT"/>
        </w:rPr>
        <w:t>escussione della garanzia fideiussoria per cauzione provvisoria, entro 15 gg dal ricevimento della presente, per l’importo di €. 52.900,00 (omissis) pari alla somma delle polizze presentate in sede di offerta</w:t>
      </w:r>
      <w:r w:rsidRPr="008B3F4B">
        <w:rPr>
          <w:rFonts w:asciiTheme="minorHAnsi" w:eastAsia="Times New Roman" w:hAnsiTheme="minorHAnsi" w:cstheme="minorHAnsi"/>
          <w:color w:val="3D3B39"/>
          <w:lang w:eastAsia="it-IT"/>
        </w:rPr>
        <w:t xml:space="preserve">”; </w:t>
      </w:r>
      <w:r w:rsidRPr="008B3F4B">
        <w:rPr>
          <w:rFonts w:asciiTheme="minorHAnsi" w:eastAsia="Times New Roman" w:hAnsiTheme="minorHAnsi" w:cstheme="minorHAnsi"/>
          <w:color w:val="3D3B39"/>
          <w:lang w:eastAsia="it-IT"/>
        </w:rPr>
        <w:br/>
        <w:t xml:space="preserve">nonché ove necessario e per quanto di interesse: </w:t>
      </w:r>
      <w:r w:rsidRPr="008B3F4B">
        <w:rPr>
          <w:rFonts w:asciiTheme="minorHAnsi" w:eastAsia="Times New Roman" w:hAnsiTheme="minorHAnsi" w:cstheme="minorHAnsi"/>
          <w:color w:val="3D3B39"/>
          <w:lang w:eastAsia="it-IT"/>
        </w:rPr>
        <w:br/>
        <w:t>- del disciplinare di gara “</w:t>
      </w:r>
      <w:r w:rsidRPr="008B3F4B">
        <w:rPr>
          <w:rFonts w:asciiTheme="minorHAnsi" w:eastAsia="Times New Roman" w:hAnsiTheme="minorHAnsi" w:cstheme="minorHAnsi"/>
          <w:i/>
          <w:iCs/>
          <w:color w:val="3D3B39"/>
          <w:lang w:eastAsia="it-IT"/>
        </w:rPr>
        <w:t>per l’affidamento in concessione del servizio di gestione dei Bar e Punti Ristoro presso diverse sedi dell’Azienda Locale Taranto – dell’operatore economico SJD Società Distributori Jonica s.r.l.</w:t>
      </w:r>
      <w:r w:rsidRPr="008B3F4B">
        <w:rPr>
          <w:rFonts w:asciiTheme="minorHAnsi" w:eastAsia="Times New Roman" w:hAnsiTheme="minorHAnsi" w:cstheme="minorHAnsi"/>
          <w:color w:val="3D3B39"/>
          <w:lang w:eastAsia="it-IT"/>
        </w:rPr>
        <w:t xml:space="preserve">”; </w:t>
      </w:r>
      <w:r w:rsidRPr="008B3F4B">
        <w:rPr>
          <w:rFonts w:asciiTheme="minorHAnsi" w:eastAsia="Times New Roman" w:hAnsiTheme="minorHAnsi" w:cstheme="minorHAnsi"/>
          <w:color w:val="3D3B39"/>
          <w:lang w:eastAsia="it-IT"/>
        </w:rPr>
        <w:br/>
        <w:t>- del capitolato speciale d’appalto “</w:t>
      </w:r>
      <w:r w:rsidRPr="008B3F4B">
        <w:rPr>
          <w:rFonts w:asciiTheme="minorHAnsi" w:eastAsia="Times New Roman" w:hAnsiTheme="minorHAnsi" w:cstheme="minorHAnsi"/>
          <w:i/>
          <w:iCs/>
          <w:color w:val="3D3B39"/>
          <w:lang w:eastAsia="it-IT"/>
        </w:rPr>
        <w:t>per l’affidamento in concessione del servizio di gestione dei Bar e Punti Ristoro presso diverse sedi dell’Azienda Locale Taranto – dell’operatore economico SJD Società Distributori Jonica s.r.l.</w:t>
      </w:r>
      <w:r w:rsidRPr="008B3F4B">
        <w:rPr>
          <w:rFonts w:asciiTheme="minorHAnsi" w:eastAsia="Times New Roman" w:hAnsiTheme="minorHAnsi" w:cstheme="minorHAnsi"/>
          <w:color w:val="3D3B39"/>
          <w:lang w:eastAsia="it-IT"/>
        </w:rPr>
        <w:t xml:space="preserve">”; </w:t>
      </w:r>
      <w:r w:rsidRPr="008B3F4B">
        <w:rPr>
          <w:rFonts w:asciiTheme="minorHAnsi" w:eastAsia="Times New Roman" w:hAnsiTheme="minorHAnsi" w:cstheme="minorHAnsi"/>
          <w:color w:val="3D3B39"/>
          <w:lang w:eastAsia="it-IT"/>
        </w:rPr>
        <w:br/>
        <w:t xml:space="preserve">- della nota </w:t>
      </w:r>
      <w:proofErr w:type="spellStart"/>
      <w:r w:rsidRPr="008B3F4B">
        <w:rPr>
          <w:rFonts w:asciiTheme="minorHAnsi" w:eastAsia="Times New Roman" w:hAnsiTheme="minorHAnsi" w:cstheme="minorHAnsi"/>
          <w:color w:val="3D3B39"/>
          <w:lang w:eastAsia="it-IT"/>
        </w:rPr>
        <w:t>Prot</w:t>
      </w:r>
      <w:proofErr w:type="spellEnd"/>
      <w:r w:rsidRPr="008B3F4B">
        <w:rPr>
          <w:rFonts w:asciiTheme="minorHAnsi" w:eastAsia="Times New Roman" w:hAnsiTheme="minorHAnsi" w:cstheme="minorHAnsi"/>
          <w:color w:val="3D3B39"/>
          <w:lang w:eastAsia="it-IT"/>
        </w:rPr>
        <w:t xml:space="preserve">. n. PI008198-19 del 14 gennaio 2019; </w:t>
      </w:r>
      <w:r w:rsidRPr="008B3F4B">
        <w:rPr>
          <w:rFonts w:asciiTheme="minorHAnsi" w:eastAsia="Times New Roman" w:hAnsiTheme="minorHAnsi" w:cstheme="minorHAnsi"/>
          <w:color w:val="3D3B39"/>
          <w:lang w:eastAsia="it-IT"/>
        </w:rPr>
        <w:br/>
        <w:t xml:space="preserve">- della nota </w:t>
      </w:r>
      <w:proofErr w:type="spellStart"/>
      <w:r w:rsidRPr="008B3F4B">
        <w:rPr>
          <w:rFonts w:asciiTheme="minorHAnsi" w:eastAsia="Times New Roman" w:hAnsiTheme="minorHAnsi" w:cstheme="minorHAnsi"/>
          <w:color w:val="3D3B39"/>
          <w:lang w:eastAsia="it-IT"/>
        </w:rPr>
        <w:t>Prot</w:t>
      </w:r>
      <w:proofErr w:type="spellEnd"/>
      <w:r w:rsidRPr="008B3F4B">
        <w:rPr>
          <w:rFonts w:asciiTheme="minorHAnsi" w:eastAsia="Times New Roman" w:hAnsiTheme="minorHAnsi" w:cstheme="minorHAnsi"/>
          <w:color w:val="3D3B39"/>
          <w:lang w:eastAsia="it-IT"/>
        </w:rPr>
        <w:t xml:space="preserve">. n. 0025264 del 6 febbraio 2019; </w:t>
      </w:r>
      <w:r w:rsidRPr="008B3F4B">
        <w:rPr>
          <w:rFonts w:asciiTheme="minorHAnsi" w:eastAsia="Times New Roman" w:hAnsiTheme="minorHAnsi" w:cstheme="minorHAnsi"/>
          <w:color w:val="3D3B39"/>
          <w:lang w:eastAsia="it-IT"/>
        </w:rPr>
        <w:br/>
        <w:t xml:space="preserve">- della nota </w:t>
      </w:r>
      <w:proofErr w:type="spellStart"/>
      <w:r w:rsidRPr="008B3F4B">
        <w:rPr>
          <w:rFonts w:asciiTheme="minorHAnsi" w:eastAsia="Times New Roman" w:hAnsiTheme="minorHAnsi" w:cstheme="minorHAnsi"/>
          <w:color w:val="3D3B39"/>
          <w:lang w:eastAsia="it-IT"/>
        </w:rPr>
        <w:t>Prot</w:t>
      </w:r>
      <w:proofErr w:type="spellEnd"/>
      <w:r w:rsidRPr="008B3F4B">
        <w:rPr>
          <w:rFonts w:asciiTheme="minorHAnsi" w:eastAsia="Times New Roman" w:hAnsiTheme="minorHAnsi" w:cstheme="minorHAnsi"/>
          <w:color w:val="3D3B39"/>
          <w:lang w:eastAsia="it-IT"/>
        </w:rPr>
        <w:t xml:space="preserve">. n. 0026793 dell’8 febbraio 2019; </w:t>
      </w:r>
      <w:r w:rsidRPr="008B3F4B">
        <w:rPr>
          <w:rFonts w:asciiTheme="minorHAnsi" w:eastAsia="Times New Roman" w:hAnsiTheme="minorHAnsi" w:cstheme="minorHAnsi"/>
          <w:color w:val="3D3B39"/>
          <w:lang w:eastAsia="it-IT"/>
        </w:rPr>
        <w:br/>
      </w:r>
      <w:r w:rsidRPr="008B3F4B">
        <w:rPr>
          <w:rFonts w:asciiTheme="minorHAnsi" w:eastAsia="Times New Roman" w:hAnsiTheme="minorHAnsi" w:cstheme="minorHAnsi"/>
          <w:color w:val="3D3B39"/>
          <w:lang w:eastAsia="it-IT"/>
        </w:rPr>
        <w:lastRenderedPageBreak/>
        <w:t xml:space="preserve">- della Determinazione Dirigenziale </w:t>
      </w:r>
      <w:proofErr w:type="spellStart"/>
      <w:r w:rsidRPr="008B3F4B">
        <w:rPr>
          <w:rFonts w:asciiTheme="minorHAnsi" w:eastAsia="Times New Roman" w:hAnsiTheme="minorHAnsi" w:cstheme="minorHAnsi"/>
          <w:color w:val="3D3B39"/>
          <w:lang w:eastAsia="it-IT"/>
        </w:rPr>
        <w:t>Prot</w:t>
      </w:r>
      <w:proofErr w:type="spellEnd"/>
      <w:r w:rsidRPr="008B3F4B">
        <w:rPr>
          <w:rFonts w:asciiTheme="minorHAnsi" w:eastAsia="Times New Roman" w:hAnsiTheme="minorHAnsi" w:cstheme="minorHAnsi"/>
          <w:color w:val="3D3B39"/>
          <w:lang w:eastAsia="it-IT"/>
        </w:rPr>
        <w:t xml:space="preserve">. n. 583/2018; </w:t>
      </w:r>
      <w:r w:rsidRPr="008B3F4B">
        <w:rPr>
          <w:rFonts w:asciiTheme="minorHAnsi" w:eastAsia="Times New Roman" w:hAnsiTheme="minorHAnsi" w:cstheme="minorHAnsi"/>
          <w:color w:val="3D3B39"/>
          <w:lang w:eastAsia="it-IT"/>
        </w:rPr>
        <w:br/>
        <w:t xml:space="preserve">- della nota </w:t>
      </w:r>
      <w:proofErr w:type="spellStart"/>
      <w:r w:rsidRPr="008B3F4B">
        <w:rPr>
          <w:rFonts w:asciiTheme="minorHAnsi" w:eastAsia="Times New Roman" w:hAnsiTheme="minorHAnsi" w:cstheme="minorHAnsi"/>
          <w:color w:val="3D3B39"/>
          <w:lang w:eastAsia="it-IT"/>
        </w:rPr>
        <w:t>Prot</w:t>
      </w:r>
      <w:proofErr w:type="spellEnd"/>
      <w:r w:rsidRPr="008B3F4B">
        <w:rPr>
          <w:rFonts w:asciiTheme="minorHAnsi" w:eastAsia="Times New Roman" w:hAnsiTheme="minorHAnsi" w:cstheme="minorHAnsi"/>
          <w:color w:val="3D3B39"/>
          <w:lang w:eastAsia="it-IT"/>
        </w:rPr>
        <w:t xml:space="preserve">. n. PI233536-18 del 10 dicembre 2018; </w:t>
      </w:r>
      <w:r w:rsidRPr="008B3F4B">
        <w:rPr>
          <w:rFonts w:asciiTheme="minorHAnsi" w:eastAsia="Times New Roman" w:hAnsiTheme="minorHAnsi" w:cstheme="minorHAnsi"/>
          <w:color w:val="3D3B39"/>
          <w:lang w:eastAsia="it-IT"/>
        </w:rPr>
        <w:br/>
        <w:t xml:space="preserve">- della Determinazione Dirigenziale </w:t>
      </w:r>
      <w:proofErr w:type="spellStart"/>
      <w:r w:rsidRPr="008B3F4B">
        <w:rPr>
          <w:rFonts w:asciiTheme="minorHAnsi" w:eastAsia="Times New Roman" w:hAnsiTheme="minorHAnsi" w:cstheme="minorHAnsi"/>
          <w:color w:val="3D3B39"/>
          <w:lang w:eastAsia="it-IT"/>
        </w:rPr>
        <w:t>Prot</w:t>
      </w:r>
      <w:proofErr w:type="spellEnd"/>
      <w:r w:rsidRPr="008B3F4B">
        <w:rPr>
          <w:rFonts w:asciiTheme="minorHAnsi" w:eastAsia="Times New Roman" w:hAnsiTheme="minorHAnsi" w:cstheme="minorHAnsi"/>
          <w:color w:val="3D3B39"/>
          <w:lang w:eastAsia="it-IT"/>
        </w:rPr>
        <w:t xml:space="preserve">. n. 1177/2018; </w:t>
      </w:r>
      <w:r w:rsidRPr="008B3F4B">
        <w:rPr>
          <w:rFonts w:asciiTheme="minorHAnsi" w:eastAsia="Times New Roman" w:hAnsiTheme="minorHAnsi" w:cstheme="minorHAnsi"/>
          <w:color w:val="3D3B39"/>
          <w:lang w:eastAsia="it-IT"/>
        </w:rPr>
        <w:br/>
        <w:t xml:space="preserve">- del provvedimento </w:t>
      </w:r>
      <w:proofErr w:type="spellStart"/>
      <w:r w:rsidRPr="008B3F4B">
        <w:rPr>
          <w:rFonts w:asciiTheme="minorHAnsi" w:eastAsia="Times New Roman" w:hAnsiTheme="minorHAnsi" w:cstheme="minorHAnsi"/>
          <w:color w:val="3D3B39"/>
          <w:lang w:eastAsia="it-IT"/>
        </w:rPr>
        <w:t>Prot</w:t>
      </w:r>
      <w:proofErr w:type="spellEnd"/>
      <w:r w:rsidRPr="008B3F4B">
        <w:rPr>
          <w:rFonts w:asciiTheme="minorHAnsi" w:eastAsia="Times New Roman" w:hAnsiTheme="minorHAnsi" w:cstheme="minorHAnsi"/>
          <w:color w:val="3D3B39"/>
          <w:lang w:eastAsia="it-IT"/>
        </w:rPr>
        <w:t xml:space="preserve">. n. 209389.05.12.2018 del 5 dicembre 2018; </w:t>
      </w:r>
      <w:r w:rsidRPr="008B3F4B">
        <w:rPr>
          <w:rFonts w:asciiTheme="minorHAnsi" w:eastAsia="Times New Roman" w:hAnsiTheme="minorHAnsi" w:cstheme="minorHAnsi"/>
          <w:color w:val="3D3B39"/>
          <w:lang w:eastAsia="it-IT"/>
        </w:rPr>
        <w:br/>
        <w:t xml:space="preserve">- della nota </w:t>
      </w:r>
      <w:proofErr w:type="spellStart"/>
      <w:r w:rsidRPr="008B3F4B">
        <w:rPr>
          <w:rFonts w:asciiTheme="minorHAnsi" w:eastAsia="Times New Roman" w:hAnsiTheme="minorHAnsi" w:cstheme="minorHAnsi"/>
          <w:color w:val="3D3B39"/>
          <w:lang w:eastAsia="it-IT"/>
        </w:rPr>
        <w:t>Prot</w:t>
      </w:r>
      <w:proofErr w:type="spellEnd"/>
      <w:r w:rsidRPr="008B3F4B">
        <w:rPr>
          <w:rFonts w:asciiTheme="minorHAnsi" w:eastAsia="Times New Roman" w:hAnsiTheme="minorHAnsi" w:cstheme="minorHAnsi"/>
          <w:color w:val="3D3B39"/>
          <w:lang w:eastAsia="it-IT"/>
        </w:rPr>
        <w:t xml:space="preserve">. n. 191601 dell’8 novembre 2018; </w:t>
      </w:r>
      <w:r w:rsidRPr="008B3F4B">
        <w:rPr>
          <w:rFonts w:asciiTheme="minorHAnsi" w:eastAsia="Times New Roman" w:hAnsiTheme="minorHAnsi" w:cstheme="minorHAnsi"/>
          <w:color w:val="3D3B39"/>
          <w:lang w:eastAsia="it-IT"/>
        </w:rPr>
        <w:br/>
        <w:t xml:space="preserve">- di ogni altro atto presupposto, connesso e/o consequenziale. </w:t>
      </w:r>
    </w:p>
    <w:p w:rsidR="008B3F4B" w:rsidRPr="008B3F4B" w:rsidRDefault="008B3F4B" w:rsidP="008B3F4B">
      <w:pPr>
        <w:spacing w:after="265"/>
        <w:rPr>
          <w:rFonts w:asciiTheme="minorHAnsi" w:eastAsia="Times New Roman" w:hAnsiTheme="minorHAnsi" w:cstheme="minorHAnsi"/>
          <w:color w:val="3D3B39"/>
          <w:lang w:eastAsia="it-IT"/>
        </w:rPr>
      </w:pPr>
      <w:r w:rsidRPr="008B3F4B">
        <w:rPr>
          <w:rFonts w:asciiTheme="minorHAnsi" w:eastAsia="Times New Roman" w:hAnsiTheme="minorHAnsi" w:cstheme="minorHAnsi"/>
          <w:color w:val="3D3B39"/>
          <w:lang w:eastAsia="it-IT"/>
        </w:rPr>
        <w:t xml:space="preserve">Visti il ricorso e i relativi allegati; </w:t>
      </w:r>
      <w:r w:rsidRPr="008B3F4B">
        <w:rPr>
          <w:rFonts w:asciiTheme="minorHAnsi" w:eastAsia="Times New Roman" w:hAnsiTheme="minorHAnsi" w:cstheme="minorHAnsi"/>
          <w:color w:val="3D3B39"/>
          <w:lang w:eastAsia="it-IT"/>
        </w:rPr>
        <w:br/>
        <w:t xml:space="preserve">Visti gli atti di costituzione in giudizio dell’ASL di Taranto e dell’ANAC; </w:t>
      </w:r>
      <w:r w:rsidRPr="008B3F4B">
        <w:rPr>
          <w:rFonts w:asciiTheme="minorHAnsi" w:eastAsia="Times New Roman" w:hAnsiTheme="minorHAnsi" w:cstheme="minorHAnsi"/>
          <w:color w:val="3D3B39"/>
          <w:lang w:eastAsia="it-IT"/>
        </w:rPr>
        <w:br/>
        <w:t xml:space="preserve">Visti tutti gli atti della causa; </w:t>
      </w:r>
      <w:r w:rsidRPr="008B3F4B">
        <w:rPr>
          <w:rFonts w:asciiTheme="minorHAnsi" w:eastAsia="Times New Roman" w:hAnsiTheme="minorHAnsi" w:cstheme="minorHAnsi"/>
          <w:color w:val="3D3B39"/>
          <w:lang w:eastAsia="it-IT"/>
        </w:rPr>
        <w:br/>
        <w:t xml:space="preserve">Relatore nella camera di consiglio del giorno 7 maggio 2019 il dott. Andrea Vitucci e uditi, per le parti, i difensori: avv.ti M. Crisci e M. </w:t>
      </w:r>
      <w:proofErr w:type="spellStart"/>
      <w:r w:rsidRPr="008B3F4B">
        <w:rPr>
          <w:rFonts w:asciiTheme="minorHAnsi" w:eastAsia="Times New Roman" w:hAnsiTheme="minorHAnsi" w:cstheme="minorHAnsi"/>
          <w:color w:val="3D3B39"/>
          <w:lang w:eastAsia="it-IT"/>
        </w:rPr>
        <w:t>Vozza</w:t>
      </w:r>
      <w:proofErr w:type="spellEnd"/>
      <w:r w:rsidRPr="008B3F4B">
        <w:rPr>
          <w:rFonts w:asciiTheme="minorHAnsi" w:eastAsia="Times New Roman" w:hAnsiTheme="minorHAnsi" w:cstheme="minorHAnsi"/>
          <w:color w:val="3D3B39"/>
          <w:lang w:eastAsia="it-IT"/>
        </w:rPr>
        <w:t xml:space="preserve">, per la ricorrente, avv. dello Stato G. Matteo e avv. V. A. </w:t>
      </w:r>
      <w:proofErr w:type="spellStart"/>
      <w:r w:rsidRPr="008B3F4B">
        <w:rPr>
          <w:rFonts w:asciiTheme="minorHAnsi" w:eastAsia="Times New Roman" w:hAnsiTheme="minorHAnsi" w:cstheme="minorHAnsi"/>
          <w:color w:val="3D3B39"/>
          <w:lang w:eastAsia="it-IT"/>
        </w:rPr>
        <w:t>Pappalepore</w:t>
      </w:r>
      <w:proofErr w:type="spellEnd"/>
      <w:r w:rsidRPr="008B3F4B">
        <w:rPr>
          <w:rFonts w:asciiTheme="minorHAnsi" w:eastAsia="Times New Roman" w:hAnsiTheme="minorHAnsi" w:cstheme="minorHAnsi"/>
          <w:color w:val="3D3B39"/>
          <w:lang w:eastAsia="it-IT"/>
        </w:rPr>
        <w:t xml:space="preserve">, in sostituzione dell'avv. M. </w:t>
      </w:r>
      <w:proofErr w:type="spellStart"/>
      <w:r w:rsidRPr="008B3F4B">
        <w:rPr>
          <w:rFonts w:asciiTheme="minorHAnsi" w:eastAsia="Times New Roman" w:hAnsiTheme="minorHAnsi" w:cstheme="minorHAnsi"/>
          <w:color w:val="3D3B39"/>
          <w:lang w:eastAsia="it-IT"/>
        </w:rPr>
        <w:t>Carulli</w:t>
      </w:r>
      <w:proofErr w:type="spellEnd"/>
      <w:r w:rsidRPr="008B3F4B">
        <w:rPr>
          <w:rFonts w:asciiTheme="minorHAnsi" w:eastAsia="Times New Roman" w:hAnsiTheme="minorHAnsi" w:cstheme="minorHAnsi"/>
          <w:color w:val="3D3B39"/>
          <w:lang w:eastAsia="it-IT"/>
        </w:rPr>
        <w:t xml:space="preserve">, per l’ASL di Taranto; </w:t>
      </w:r>
      <w:r w:rsidRPr="008B3F4B">
        <w:rPr>
          <w:rFonts w:asciiTheme="minorHAnsi" w:eastAsia="Times New Roman" w:hAnsiTheme="minorHAnsi" w:cstheme="minorHAnsi"/>
          <w:color w:val="3D3B39"/>
          <w:lang w:eastAsia="it-IT"/>
        </w:rPr>
        <w:br/>
        <w:t xml:space="preserve">Sentite le stesse parti ai sensi dell'art. 60 cod. </w:t>
      </w:r>
      <w:proofErr w:type="spellStart"/>
      <w:r w:rsidRPr="008B3F4B">
        <w:rPr>
          <w:rFonts w:asciiTheme="minorHAnsi" w:eastAsia="Times New Roman" w:hAnsiTheme="minorHAnsi" w:cstheme="minorHAnsi"/>
          <w:color w:val="3D3B39"/>
          <w:lang w:eastAsia="it-IT"/>
        </w:rPr>
        <w:t>proc</w:t>
      </w:r>
      <w:proofErr w:type="spellEnd"/>
      <w:r w:rsidRPr="008B3F4B">
        <w:rPr>
          <w:rFonts w:asciiTheme="minorHAnsi" w:eastAsia="Times New Roman" w:hAnsiTheme="minorHAnsi" w:cstheme="minorHAnsi"/>
          <w:color w:val="3D3B39"/>
          <w:lang w:eastAsia="it-IT"/>
        </w:rPr>
        <w:t xml:space="preserve">. </w:t>
      </w:r>
      <w:proofErr w:type="spellStart"/>
      <w:r w:rsidRPr="008B3F4B">
        <w:rPr>
          <w:rFonts w:asciiTheme="minorHAnsi" w:eastAsia="Times New Roman" w:hAnsiTheme="minorHAnsi" w:cstheme="minorHAnsi"/>
          <w:color w:val="3D3B39"/>
          <w:lang w:eastAsia="it-IT"/>
        </w:rPr>
        <w:t>amm</w:t>
      </w:r>
      <w:proofErr w:type="spellEnd"/>
      <w:r w:rsidRPr="008B3F4B">
        <w:rPr>
          <w:rFonts w:asciiTheme="minorHAnsi" w:eastAsia="Times New Roman" w:hAnsiTheme="minorHAnsi" w:cstheme="minorHAnsi"/>
          <w:color w:val="3D3B39"/>
          <w:lang w:eastAsia="it-IT"/>
        </w:rPr>
        <w:t xml:space="preserve">.; </w:t>
      </w:r>
      <w:r w:rsidRPr="008B3F4B">
        <w:rPr>
          <w:rFonts w:asciiTheme="minorHAnsi" w:eastAsia="Times New Roman" w:hAnsiTheme="minorHAnsi" w:cstheme="minorHAnsi"/>
          <w:color w:val="3D3B39"/>
          <w:lang w:eastAsia="it-IT"/>
        </w:rPr>
        <w:br/>
        <w:t xml:space="preserve">Ritenuto e considerato in fatto e diritto quanto segue. </w:t>
      </w:r>
    </w:p>
    <w:p w:rsidR="008B3F4B" w:rsidRPr="008B3F4B" w:rsidRDefault="008B3F4B" w:rsidP="008B3F4B">
      <w:pPr>
        <w:spacing w:after="265"/>
        <w:jc w:val="center"/>
        <w:rPr>
          <w:rFonts w:asciiTheme="minorHAnsi" w:eastAsia="Times New Roman" w:hAnsiTheme="minorHAnsi" w:cstheme="minorHAnsi"/>
          <w:color w:val="3D3B39"/>
          <w:lang w:eastAsia="it-IT"/>
        </w:rPr>
      </w:pPr>
      <w:r w:rsidRPr="008B3F4B">
        <w:rPr>
          <w:rFonts w:asciiTheme="minorHAnsi" w:eastAsia="Times New Roman" w:hAnsiTheme="minorHAnsi" w:cstheme="minorHAnsi"/>
          <w:b/>
          <w:bCs/>
          <w:color w:val="3D3B39"/>
          <w:lang w:eastAsia="it-IT"/>
        </w:rPr>
        <w:t>FATTO</w:t>
      </w:r>
    </w:p>
    <w:p w:rsidR="008B3F4B" w:rsidRPr="008B3F4B" w:rsidRDefault="008B3F4B" w:rsidP="008B3F4B">
      <w:pPr>
        <w:spacing w:after="265"/>
        <w:rPr>
          <w:rFonts w:asciiTheme="minorHAnsi" w:eastAsia="Times New Roman" w:hAnsiTheme="minorHAnsi" w:cstheme="minorHAnsi"/>
          <w:color w:val="3D3B39"/>
          <w:lang w:eastAsia="it-IT"/>
        </w:rPr>
      </w:pPr>
      <w:r w:rsidRPr="008B3F4B">
        <w:rPr>
          <w:rFonts w:asciiTheme="minorHAnsi" w:eastAsia="Times New Roman" w:hAnsiTheme="minorHAnsi" w:cstheme="minorHAnsi"/>
          <w:color w:val="3D3B39"/>
          <w:lang w:eastAsia="it-IT"/>
        </w:rPr>
        <w:t>1) Parte ricorrente espone di aver preso parte alla procedura ad evidenza pubblica indetta dall’ASL di Taranto per l’affidamento, in regime di concessione, del “</w:t>
      </w:r>
      <w:r w:rsidRPr="008B3F4B">
        <w:rPr>
          <w:rFonts w:asciiTheme="minorHAnsi" w:eastAsia="Times New Roman" w:hAnsiTheme="minorHAnsi" w:cstheme="minorHAnsi"/>
          <w:i/>
          <w:iCs/>
          <w:color w:val="3D3B39"/>
          <w:lang w:eastAsia="it-IT"/>
        </w:rPr>
        <w:t>Servizio di gestione dei Bar – Punti Ristoro presso le diverse sedi della Azienda Sanitaria Locale Taranto</w:t>
      </w:r>
      <w:r w:rsidRPr="008B3F4B">
        <w:rPr>
          <w:rFonts w:asciiTheme="minorHAnsi" w:eastAsia="Times New Roman" w:hAnsiTheme="minorHAnsi" w:cstheme="minorHAnsi"/>
          <w:color w:val="3D3B39"/>
          <w:lang w:eastAsia="it-IT"/>
        </w:rPr>
        <w:t xml:space="preserve">”. </w:t>
      </w:r>
      <w:r w:rsidRPr="008B3F4B">
        <w:rPr>
          <w:rFonts w:asciiTheme="minorHAnsi" w:eastAsia="Times New Roman" w:hAnsiTheme="minorHAnsi" w:cstheme="minorHAnsi"/>
          <w:color w:val="3D3B39"/>
          <w:lang w:eastAsia="it-IT"/>
        </w:rPr>
        <w:br/>
        <w:t xml:space="preserve">L’affidamento è suddiviso in 5 lotti, dei quali i primi quattro aventi ad oggetto il servizio bar presso i presidi ospedalieri dell’ASL e il quinto relativo all’affidamento del servizio di ristoro mediante 60 distributori automatici da collocare nei presidi ospedalieri e nelle strutture territoriali dell’ASL. La società ricorrente partecipava alla gara per i lotti </w:t>
      </w:r>
      <w:proofErr w:type="spellStart"/>
      <w:r w:rsidRPr="008B3F4B">
        <w:rPr>
          <w:rFonts w:asciiTheme="minorHAnsi" w:eastAsia="Times New Roman" w:hAnsiTheme="minorHAnsi" w:cstheme="minorHAnsi"/>
          <w:color w:val="3D3B39"/>
          <w:lang w:eastAsia="it-IT"/>
        </w:rPr>
        <w:t>nn</w:t>
      </w:r>
      <w:proofErr w:type="spellEnd"/>
      <w:r w:rsidRPr="008B3F4B">
        <w:rPr>
          <w:rFonts w:asciiTheme="minorHAnsi" w:eastAsia="Times New Roman" w:hAnsiTheme="minorHAnsi" w:cstheme="minorHAnsi"/>
          <w:color w:val="3D3B39"/>
          <w:lang w:eastAsia="it-IT"/>
        </w:rPr>
        <w:t xml:space="preserve">. 2-3-4-5 e precisa che, in relazione al lotto 5, è il gestore uscente. </w:t>
      </w:r>
      <w:r w:rsidRPr="008B3F4B">
        <w:rPr>
          <w:rFonts w:asciiTheme="minorHAnsi" w:eastAsia="Times New Roman" w:hAnsiTheme="minorHAnsi" w:cstheme="minorHAnsi"/>
          <w:color w:val="3D3B39"/>
          <w:lang w:eastAsia="it-IT"/>
        </w:rPr>
        <w:br/>
        <w:t>2) La ricorrente espone, altresì, che la “</w:t>
      </w:r>
      <w:r w:rsidRPr="008B3F4B">
        <w:rPr>
          <w:rFonts w:asciiTheme="minorHAnsi" w:eastAsia="Times New Roman" w:hAnsiTheme="minorHAnsi" w:cstheme="minorHAnsi"/>
          <w:i/>
          <w:iCs/>
          <w:color w:val="3D3B39"/>
          <w:lang w:eastAsia="it-IT"/>
        </w:rPr>
        <w:t>vicenda sottesa all’odierno casus belli è in parte già nota all’Ecc.mo T.A.R. adito, precedentemente investito della complessiva fattispecie in ragione di due precedenti gravami di cui uno proposto sempre dall’odierna ricorrente (T.A.R. Lecce, Sez. II^, R.G. nr. 21/2019) a seguito di una prima esclusione (che poi sarà annullata d’ufficio dalla Stazione appaltante a seguito della formale impugnazione del relativo provvedimento escludente) medio tempore disposta in virtù della ritenuta insussistenza di un requisito di partecipazione alla gara. In particolare </w:t>
      </w:r>
      <w:r w:rsidRPr="008B3F4B">
        <w:rPr>
          <w:rFonts w:asciiTheme="minorHAnsi" w:eastAsia="Times New Roman" w:hAnsiTheme="minorHAnsi" w:cstheme="minorHAnsi"/>
          <w:color w:val="3D3B39"/>
          <w:lang w:eastAsia="it-IT"/>
        </w:rPr>
        <w:t>[…], </w:t>
      </w:r>
      <w:r w:rsidRPr="008B3F4B">
        <w:rPr>
          <w:rFonts w:asciiTheme="minorHAnsi" w:eastAsia="Times New Roman" w:hAnsiTheme="minorHAnsi" w:cstheme="minorHAnsi"/>
          <w:i/>
          <w:iCs/>
          <w:color w:val="3D3B39"/>
          <w:lang w:eastAsia="it-IT"/>
        </w:rPr>
        <w:t xml:space="preserve">la Stazione appaltante procedeva all’indizione di una prima procedura ad evidenza pubblica per l’affidamento del presente servizio. In detta occasione, in particolare, la ricorrente, in vista della sua partecipazione alla gara sempre per i lotti </w:t>
      </w:r>
      <w:proofErr w:type="spellStart"/>
      <w:r w:rsidRPr="008B3F4B">
        <w:rPr>
          <w:rFonts w:asciiTheme="minorHAnsi" w:eastAsia="Times New Roman" w:hAnsiTheme="minorHAnsi" w:cstheme="minorHAnsi"/>
          <w:i/>
          <w:iCs/>
          <w:color w:val="3D3B39"/>
          <w:lang w:eastAsia="it-IT"/>
        </w:rPr>
        <w:t>nn</w:t>
      </w:r>
      <w:proofErr w:type="spellEnd"/>
      <w:r w:rsidRPr="008B3F4B">
        <w:rPr>
          <w:rFonts w:asciiTheme="minorHAnsi" w:eastAsia="Times New Roman" w:hAnsiTheme="minorHAnsi" w:cstheme="minorHAnsi"/>
          <w:i/>
          <w:iCs/>
          <w:color w:val="3D3B39"/>
          <w:lang w:eastAsia="it-IT"/>
        </w:rPr>
        <w:t>. 2-3-4-5, provvedeva ad effettuare i sopralluoghi presso le varie sedi ospedaliere. Detto bando, però, veniva revocato dall’ASL Taranto a seguito di ricorso (cfr. T.A.R. Lecce, R.G. nr. 979/2018).</w:t>
      </w:r>
      <w:r w:rsidRPr="008B3F4B">
        <w:rPr>
          <w:rFonts w:asciiTheme="minorHAnsi" w:eastAsia="Times New Roman" w:hAnsiTheme="minorHAnsi" w:cstheme="minorHAnsi"/>
          <w:color w:val="3D3B39"/>
          <w:lang w:eastAsia="it-IT"/>
        </w:rPr>
        <w:t> […La] </w:t>
      </w:r>
      <w:r w:rsidRPr="008B3F4B">
        <w:rPr>
          <w:rFonts w:asciiTheme="minorHAnsi" w:eastAsia="Times New Roman" w:hAnsiTheme="minorHAnsi" w:cstheme="minorHAnsi"/>
          <w:i/>
          <w:iCs/>
          <w:color w:val="3D3B39"/>
          <w:lang w:eastAsia="it-IT"/>
        </w:rPr>
        <w:t xml:space="preserve">revoca del bando veniva disposta al fine di emendare la </w:t>
      </w:r>
      <w:proofErr w:type="spellStart"/>
      <w:r w:rsidRPr="008B3F4B">
        <w:rPr>
          <w:rFonts w:asciiTheme="minorHAnsi" w:eastAsia="Times New Roman" w:hAnsiTheme="minorHAnsi" w:cstheme="minorHAnsi"/>
          <w:i/>
          <w:iCs/>
          <w:color w:val="3D3B39"/>
          <w:lang w:eastAsia="it-IT"/>
        </w:rPr>
        <w:t>lex</w:t>
      </w:r>
      <w:proofErr w:type="spellEnd"/>
      <w:r w:rsidRPr="008B3F4B">
        <w:rPr>
          <w:rFonts w:asciiTheme="minorHAnsi" w:eastAsia="Times New Roman" w:hAnsiTheme="minorHAnsi" w:cstheme="minorHAnsi"/>
          <w:i/>
          <w:iCs/>
          <w:color w:val="3D3B39"/>
          <w:lang w:eastAsia="it-IT"/>
        </w:rPr>
        <w:t xml:space="preserve"> di gara dall’invalida previsione – quale requisito di partecipazione – della licenza di somministrazione rilasciata soltanto dal Comune di Taranto, pur riferendosi i vari lotti a sedi dislocate in tutta la Provincia. Seguiva, dunque, l’indizione dell’odierna procedura ad evidenza pubblica con una legge di gara in sostanziale continuità con il testo revocato, se non per la differente previsione del requisito della licenza di somministrazione rilasciata dal Comune territorialmente competente. Null’altro risultava invariato rispetto alla precedente gara. A detta procedura, come si è già detto, partecipava l’odierna ricorrente per i lotti </w:t>
      </w:r>
      <w:proofErr w:type="spellStart"/>
      <w:r w:rsidRPr="008B3F4B">
        <w:rPr>
          <w:rFonts w:asciiTheme="minorHAnsi" w:eastAsia="Times New Roman" w:hAnsiTheme="minorHAnsi" w:cstheme="minorHAnsi"/>
          <w:i/>
          <w:iCs/>
          <w:color w:val="3D3B39"/>
          <w:lang w:eastAsia="it-IT"/>
        </w:rPr>
        <w:t>nn</w:t>
      </w:r>
      <w:proofErr w:type="spellEnd"/>
      <w:r w:rsidRPr="008B3F4B">
        <w:rPr>
          <w:rFonts w:asciiTheme="minorHAnsi" w:eastAsia="Times New Roman" w:hAnsiTheme="minorHAnsi" w:cstheme="minorHAnsi"/>
          <w:i/>
          <w:iCs/>
          <w:color w:val="3D3B39"/>
          <w:lang w:eastAsia="it-IT"/>
        </w:rPr>
        <w:t>. 2-3-4-5</w:t>
      </w:r>
      <w:r w:rsidRPr="008B3F4B">
        <w:rPr>
          <w:rFonts w:asciiTheme="minorHAnsi" w:eastAsia="Times New Roman" w:hAnsiTheme="minorHAnsi" w:cstheme="minorHAnsi"/>
          <w:color w:val="3D3B39"/>
          <w:lang w:eastAsia="it-IT"/>
        </w:rPr>
        <w:t>” (</w:t>
      </w:r>
      <w:proofErr w:type="spellStart"/>
      <w:r w:rsidRPr="008B3F4B">
        <w:rPr>
          <w:rFonts w:asciiTheme="minorHAnsi" w:eastAsia="Times New Roman" w:hAnsiTheme="minorHAnsi" w:cstheme="minorHAnsi"/>
          <w:color w:val="3D3B39"/>
          <w:lang w:eastAsia="it-IT"/>
        </w:rPr>
        <w:t>pagg</w:t>
      </w:r>
      <w:proofErr w:type="spellEnd"/>
      <w:r w:rsidRPr="008B3F4B">
        <w:rPr>
          <w:rFonts w:asciiTheme="minorHAnsi" w:eastAsia="Times New Roman" w:hAnsiTheme="minorHAnsi" w:cstheme="minorHAnsi"/>
          <w:color w:val="3D3B39"/>
          <w:lang w:eastAsia="it-IT"/>
        </w:rPr>
        <w:t xml:space="preserve">. 4-5 ricorso). </w:t>
      </w:r>
      <w:r w:rsidRPr="008B3F4B">
        <w:rPr>
          <w:rFonts w:asciiTheme="minorHAnsi" w:eastAsia="Times New Roman" w:hAnsiTheme="minorHAnsi" w:cstheme="minorHAnsi"/>
          <w:color w:val="3D3B39"/>
          <w:lang w:eastAsia="it-IT"/>
        </w:rPr>
        <w:br/>
        <w:t>3) Espone, ancora, la ricorrente che, ai sensi dell’art. 1.1 del Disciplinare di gara, era in facoltà dei concorrenti effettuare “</w:t>
      </w:r>
      <w:r w:rsidRPr="008B3F4B">
        <w:rPr>
          <w:rFonts w:asciiTheme="minorHAnsi" w:eastAsia="Times New Roman" w:hAnsiTheme="minorHAnsi" w:cstheme="minorHAnsi"/>
          <w:i/>
          <w:iCs/>
          <w:color w:val="3D3B39"/>
          <w:lang w:eastAsia="it-IT"/>
        </w:rPr>
        <w:t>un sopralluogo, da effettuarsi entro il 17/10/2018, presso la struttura oggetto della procedura. A detto sopralluogo saranno ammessi il titolare o legale rappresentante dell'impresa ovvero personale tecnico o un dipendente della medesima purché muniti di proprio documento di identità e di idonea delega sottoscritta dal legale rappresentante. Il sopralluogo dovrà essere effettuato in presenza di funzionari e tecnici dell’Amministrazione</w:t>
      </w:r>
      <w:r w:rsidRPr="008B3F4B">
        <w:rPr>
          <w:rFonts w:asciiTheme="minorHAnsi" w:eastAsia="Times New Roman" w:hAnsiTheme="minorHAnsi" w:cstheme="minorHAnsi"/>
          <w:color w:val="3D3B39"/>
          <w:lang w:eastAsia="it-IT"/>
        </w:rPr>
        <w:t>”. Inoltre, ai sensi dell’art. 18 del Capitolato tecnico, i potenziali concorrenti avrebbero potuto (e non dovuto) effettuare “</w:t>
      </w:r>
      <w:r w:rsidRPr="008B3F4B">
        <w:rPr>
          <w:rFonts w:asciiTheme="minorHAnsi" w:eastAsia="Times New Roman" w:hAnsiTheme="minorHAnsi" w:cstheme="minorHAnsi"/>
          <w:i/>
          <w:iCs/>
          <w:color w:val="3D3B39"/>
          <w:lang w:eastAsia="it-IT"/>
        </w:rPr>
        <w:t>un sopralluogo guidato per prendere visione dei locali destinati all’espletamento del servizio posti all’interno delle strutture</w:t>
      </w:r>
      <w:r w:rsidRPr="008B3F4B">
        <w:rPr>
          <w:rFonts w:asciiTheme="minorHAnsi" w:eastAsia="Times New Roman" w:hAnsiTheme="minorHAnsi" w:cstheme="minorHAnsi"/>
          <w:color w:val="3D3B39"/>
          <w:lang w:eastAsia="it-IT"/>
        </w:rPr>
        <w:t>”, contestualmente precisandosi che, “</w:t>
      </w:r>
      <w:r w:rsidRPr="008B3F4B">
        <w:rPr>
          <w:rFonts w:asciiTheme="minorHAnsi" w:eastAsia="Times New Roman" w:hAnsiTheme="minorHAnsi" w:cstheme="minorHAnsi"/>
          <w:i/>
          <w:iCs/>
          <w:color w:val="3D3B39"/>
          <w:lang w:eastAsia="it-IT"/>
        </w:rPr>
        <w:t>in caso di mancata effettuazione dei sopralluoghi, l’impresa, successivamente alla presentazione dell’offerta, non potrà avanzare obiezioni o pretese in merito alla non conoscenza di circostanze che avrebbero potuto influire sulla formulazione dell’offerta stessa</w:t>
      </w:r>
      <w:r w:rsidRPr="008B3F4B">
        <w:rPr>
          <w:rFonts w:asciiTheme="minorHAnsi" w:eastAsia="Times New Roman" w:hAnsiTheme="minorHAnsi" w:cstheme="minorHAnsi"/>
          <w:color w:val="3D3B39"/>
          <w:lang w:eastAsia="it-IT"/>
        </w:rPr>
        <w:t xml:space="preserve">”. </w:t>
      </w:r>
      <w:r w:rsidRPr="008B3F4B">
        <w:rPr>
          <w:rFonts w:asciiTheme="minorHAnsi" w:eastAsia="Times New Roman" w:hAnsiTheme="minorHAnsi" w:cstheme="minorHAnsi"/>
          <w:color w:val="3D3B39"/>
          <w:lang w:eastAsia="it-IT"/>
        </w:rPr>
        <w:br/>
      </w:r>
      <w:r w:rsidRPr="008B3F4B">
        <w:rPr>
          <w:rFonts w:asciiTheme="minorHAnsi" w:eastAsia="Times New Roman" w:hAnsiTheme="minorHAnsi" w:cstheme="minorHAnsi"/>
          <w:color w:val="3D3B39"/>
          <w:lang w:eastAsia="it-IT"/>
        </w:rPr>
        <w:lastRenderedPageBreak/>
        <w:t xml:space="preserve">4) Aperte le offerte tecniche, nella seduta del 17 gennaio 2019, e nelle more della successiva valutazione delle medesime, la ASL adottava l’impugnata Determinazione n. 257-2019, dalla quale emerge quanto segue, non contestato, in fatto, da parte ricorrente. </w:t>
      </w:r>
      <w:r w:rsidRPr="008B3F4B">
        <w:rPr>
          <w:rFonts w:asciiTheme="minorHAnsi" w:eastAsia="Times New Roman" w:hAnsiTheme="minorHAnsi" w:cstheme="minorHAnsi"/>
          <w:color w:val="3D3B39"/>
          <w:lang w:eastAsia="it-IT"/>
        </w:rPr>
        <w:br/>
        <w:t>4.1) Sulla base di una segnalazione del legale di un concorrente, emergeva che “</w:t>
      </w:r>
      <w:r w:rsidRPr="008B3F4B">
        <w:rPr>
          <w:rFonts w:asciiTheme="minorHAnsi" w:eastAsia="Times New Roman" w:hAnsiTheme="minorHAnsi" w:cstheme="minorHAnsi"/>
          <w:i/>
          <w:iCs/>
          <w:color w:val="3D3B39"/>
          <w:lang w:eastAsia="it-IT"/>
        </w:rPr>
        <w:t>tra la documentazione amministrativa prodotta in sede di gara dal concorrente SJD Società Distributori Jonica s.r.l. figurano gli attestati di sopralluogo rilasciati dai vari presidi sanitari da cui, per quel che attiene a quelli rientranti nel lotto 2, risulta che:</w:t>
      </w:r>
      <w:r w:rsidRPr="008B3F4B">
        <w:rPr>
          <w:rFonts w:asciiTheme="minorHAnsi" w:eastAsia="Times New Roman" w:hAnsiTheme="minorHAnsi" w:cstheme="minorHAnsi"/>
          <w:color w:val="3D3B39"/>
          <w:lang w:eastAsia="it-IT"/>
        </w:rPr>
        <w:t xml:space="preserve"> </w:t>
      </w:r>
      <w:r w:rsidRPr="008B3F4B">
        <w:rPr>
          <w:rFonts w:asciiTheme="minorHAnsi" w:eastAsia="Times New Roman" w:hAnsiTheme="minorHAnsi" w:cstheme="minorHAnsi"/>
          <w:color w:val="3D3B39"/>
          <w:lang w:eastAsia="it-IT"/>
        </w:rPr>
        <w:br/>
      </w:r>
      <w:r w:rsidRPr="008B3F4B">
        <w:rPr>
          <w:rFonts w:asciiTheme="minorHAnsi" w:eastAsia="Times New Roman" w:hAnsiTheme="minorHAnsi" w:cstheme="minorHAnsi"/>
          <w:i/>
          <w:iCs/>
          <w:color w:val="3D3B39"/>
          <w:lang w:eastAsia="it-IT"/>
        </w:rPr>
        <w:t>- In data 10/10/2018 il delegato della SJD s.r.l., sig.</w:t>
      </w:r>
      <w:r w:rsidRPr="008B3F4B">
        <w:rPr>
          <w:rFonts w:asciiTheme="minorHAnsi" w:eastAsia="Times New Roman" w:hAnsiTheme="minorHAnsi" w:cstheme="minorHAnsi"/>
          <w:color w:val="3D3B39"/>
          <w:lang w:eastAsia="it-IT"/>
        </w:rPr>
        <w:t> […], </w:t>
      </w:r>
      <w:r w:rsidRPr="008B3F4B">
        <w:rPr>
          <w:rFonts w:asciiTheme="minorHAnsi" w:eastAsia="Times New Roman" w:hAnsiTheme="minorHAnsi" w:cstheme="minorHAnsi"/>
          <w:i/>
          <w:iCs/>
          <w:color w:val="3D3B39"/>
          <w:lang w:eastAsia="it-IT"/>
        </w:rPr>
        <w:t>avrebbe effettuato il sopralluogo presso i locali adibiti a bar siti nel presidio ospedaliero di Massafra (cfr. attestato allegato a firma, per l'ASL, del sig. </w:t>
      </w:r>
      <w:r w:rsidRPr="008B3F4B">
        <w:rPr>
          <w:rFonts w:asciiTheme="minorHAnsi" w:eastAsia="Times New Roman" w:hAnsiTheme="minorHAnsi" w:cstheme="minorHAnsi"/>
          <w:color w:val="3D3B39"/>
          <w:lang w:eastAsia="it-IT"/>
        </w:rPr>
        <w:t>[…]</w:t>
      </w:r>
      <w:r w:rsidRPr="008B3F4B">
        <w:rPr>
          <w:rFonts w:asciiTheme="minorHAnsi" w:eastAsia="Times New Roman" w:hAnsiTheme="minorHAnsi" w:cstheme="minorHAnsi"/>
          <w:i/>
          <w:iCs/>
          <w:color w:val="3D3B39"/>
          <w:lang w:eastAsia="it-IT"/>
        </w:rPr>
        <w:t>)</w:t>
      </w:r>
      <w:r w:rsidRPr="008B3F4B">
        <w:rPr>
          <w:rFonts w:asciiTheme="minorHAnsi" w:eastAsia="Times New Roman" w:hAnsiTheme="minorHAnsi" w:cstheme="minorHAnsi"/>
          <w:color w:val="3D3B39"/>
          <w:lang w:eastAsia="it-IT"/>
        </w:rPr>
        <w:t xml:space="preserve">; </w:t>
      </w:r>
      <w:r w:rsidRPr="008B3F4B">
        <w:rPr>
          <w:rFonts w:asciiTheme="minorHAnsi" w:eastAsia="Times New Roman" w:hAnsiTheme="minorHAnsi" w:cstheme="minorHAnsi"/>
          <w:color w:val="3D3B39"/>
          <w:lang w:eastAsia="it-IT"/>
        </w:rPr>
        <w:br/>
      </w:r>
      <w:r w:rsidRPr="008B3F4B">
        <w:rPr>
          <w:rFonts w:asciiTheme="minorHAnsi" w:eastAsia="Times New Roman" w:hAnsiTheme="minorHAnsi" w:cstheme="minorHAnsi"/>
          <w:i/>
          <w:iCs/>
          <w:color w:val="3D3B39"/>
          <w:lang w:eastAsia="it-IT"/>
        </w:rPr>
        <w:t>- In data 27/09/2018 il delegato della SJD s.r.l., sig.</w:t>
      </w:r>
      <w:r w:rsidRPr="008B3F4B">
        <w:rPr>
          <w:rFonts w:asciiTheme="minorHAnsi" w:eastAsia="Times New Roman" w:hAnsiTheme="minorHAnsi" w:cstheme="minorHAnsi"/>
          <w:color w:val="3D3B39"/>
          <w:lang w:eastAsia="it-IT"/>
        </w:rPr>
        <w:t> […], </w:t>
      </w:r>
      <w:r w:rsidRPr="008B3F4B">
        <w:rPr>
          <w:rFonts w:asciiTheme="minorHAnsi" w:eastAsia="Times New Roman" w:hAnsiTheme="minorHAnsi" w:cstheme="minorHAnsi"/>
          <w:i/>
          <w:iCs/>
          <w:color w:val="3D3B39"/>
          <w:lang w:eastAsia="it-IT"/>
        </w:rPr>
        <w:t>avrebbe effettuato il sopralluogo presso i locali adibiti a bar siti nel presidio ospedaliero di Mottola (cfr. attestato allegato a firma, per l'ASL, della sig.ra</w:t>
      </w:r>
      <w:r w:rsidRPr="008B3F4B">
        <w:rPr>
          <w:rFonts w:asciiTheme="minorHAnsi" w:eastAsia="Times New Roman" w:hAnsiTheme="minorHAnsi" w:cstheme="minorHAnsi"/>
          <w:color w:val="3D3B39"/>
          <w:lang w:eastAsia="it-IT"/>
        </w:rPr>
        <w:t> […]</w:t>
      </w:r>
      <w:r w:rsidRPr="008B3F4B">
        <w:rPr>
          <w:rFonts w:asciiTheme="minorHAnsi" w:eastAsia="Times New Roman" w:hAnsiTheme="minorHAnsi" w:cstheme="minorHAnsi"/>
          <w:i/>
          <w:iCs/>
          <w:color w:val="3D3B39"/>
          <w:lang w:eastAsia="it-IT"/>
        </w:rPr>
        <w:t>)</w:t>
      </w:r>
      <w:r w:rsidRPr="008B3F4B">
        <w:rPr>
          <w:rFonts w:asciiTheme="minorHAnsi" w:eastAsia="Times New Roman" w:hAnsiTheme="minorHAnsi" w:cstheme="minorHAnsi"/>
          <w:color w:val="3D3B39"/>
          <w:lang w:eastAsia="it-IT"/>
        </w:rPr>
        <w:t xml:space="preserve">; </w:t>
      </w:r>
      <w:r w:rsidRPr="008B3F4B">
        <w:rPr>
          <w:rFonts w:asciiTheme="minorHAnsi" w:eastAsia="Times New Roman" w:hAnsiTheme="minorHAnsi" w:cstheme="minorHAnsi"/>
          <w:color w:val="3D3B39"/>
          <w:lang w:eastAsia="it-IT"/>
        </w:rPr>
        <w:br/>
      </w:r>
      <w:r w:rsidRPr="008B3F4B">
        <w:rPr>
          <w:rFonts w:asciiTheme="minorHAnsi" w:eastAsia="Times New Roman" w:hAnsiTheme="minorHAnsi" w:cstheme="minorHAnsi"/>
          <w:i/>
          <w:iCs/>
          <w:color w:val="3D3B39"/>
          <w:lang w:eastAsia="it-IT"/>
        </w:rPr>
        <w:t>- In data 28/09/2018 il delegato della SJD s.r.l., sig.</w:t>
      </w:r>
      <w:r w:rsidRPr="008B3F4B">
        <w:rPr>
          <w:rFonts w:asciiTheme="minorHAnsi" w:eastAsia="Times New Roman" w:hAnsiTheme="minorHAnsi" w:cstheme="minorHAnsi"/>
          <w:color w:val="3D3B39"/>
          <w:lang w:eastAsia="it-IT"/>
        </w:rPr>
        <w:t> […], </w:t>
      </w:r>
      <w:r w:rsidRPr="008B3F4B">
        <w:rPr>
          <w:rFonts w:asciiTheme="minorHAnsi" w:eastAsia="Times New Roman" w:hAnsiTheme="minorHAnsi" w:cstheme="minorHAnsi"/>
          <w:i/>
          <w:iCs/>
          <w:color w:val="3D3B39"/>
          <w:lang w:eastAsia="it-IT"/>
        </w:rPr>
        <w:t>avrebbe effettuato il sopralluogo presso i locali adibiti a bar siti nel presidio ospedaliero di Castellaneta (cfr. attestato allegato a firma, per l'ASL, del sig. </w:t>
      </w:r>
      <w:r w:rsidRPr="008B3F4B">
        <w:rPr>
          <w:rFonts w:asciiTheme="minorHAnsi" w:eastAsia="Times New Roman" w:hAnsiTheme="minorHAnsi" w:cstheme="minorHAnsi"/>
          <w:color w:val="3D3B39"/>
          <w:lang w:eastAsia="it-IT"/>
        </w:rPr>
        <w:t>[…]</w:t>
      </w:r>
      <w:r w:rsidRPr="008B3F4B">
        <w:rPr>
          <w:rFonts w:asciiTheme="minorHAnsi" w:eastAsia="Times New Roman" w:hAnsiTheme="minorHAnsi" w:cstheme="minorHAnsi"/>
          <w:i/>
          <w:iCs/>
          <w:color w:val="3D3B39"/>
          <w:lang w:eastAsia="it-IT"/>
        </w:rPr>
        <w:t>)</w:t>
      </w:r>
      <w:r w:rsidRPr="008B3F4B">
        <w:rPr>
          <w:rFonts w:asciiTheme="minorHAnsi" w:eastAsia="Times New Roman" w:hAnsiTheme="minorHAnsi" w:cstheme="minorHAnsi"/>
          <w:color w:val="3D3B39"/>
          <w:lang w:eastAsia="it-IT"/>
        </w:rPr>
        <w:t xml:space="preserve">”. </w:t>
      </w:r>
      <w:r w:rsidRPr="008B3F4B">
        <w:rPr>
          <w:rFonts w:asciiTheme="minorHAnsi" w:eastAsia="Times New Roman" w:hAnsiTheme="minorHAnsi" w:cstheme="minorHAnsi"/>
          <w:color w:val="3D3B39"/>
          <w:lang w:eastAsia="it-IT"/>
        </w:rPr>
        <w:br/>
        <w:t>4.2) Il cit. provvedimento espulsivo prosegue evidenziando che la predetta segnalazione significava che “</w:t>
      </w:r>
      <w:r w:rsidRPr="008B3F4B">
        <w:rPr>
          <w:rFonts w:asciiTheme="minorHAnsi" w:eastAsia="Times New Roman" w:hAnsiTheme="minorHAnsi" w:cstheme="minorHAnsi"/>
          <w:i/>
          <w:iCs/>
          <w:color w:val="3D3B39"/>
          <w:lang w:eastAsia="it-IT"/>
        </w:rPr>
        <w:t>(…) gli attuali gestori dei bar siti nei predetti presidi ospedalieri e quindi presenti in loco durante l'intero orario di apertura dei rispettivi locali, mi riferiscono, tuttavia, che, nelle date indicate dai richiamati attestati, nessun sopralluogo è stato effettuato da parte dei rappresentanti della concorrente SJD Società Distributori Jonica s.r.l. (…)”; pertanto sollecitava questa SA a “(…) voler confermare se dai documenti conservati agli atti dei rispettivi uffici risulti che i referenti della società SJD Società Distributori Jonica s.r.l. abbiano effettivamente eseguito i sopralluoghi nelle date indicate dagli attestati presentati in gara dalla citata concorrente</w:t>
      </w:r>
      <w:r w:rsidRPr="008B3F4B">
        <w:rPr>
          <w:rFonts w:asciiTheme="minorHAnsi" w:eastAsia="Times New Roman" w:hAnsiTheme="minorHAnsi" w:cstheme="minorHAnsi"/>
          <w:color w:val="3D3B39"/>
          <w:lang w:eastAsia="it-IT"/>
        </w:rPr>
        <w:t xml:space="preserve">”. </w:t>
      </w:r>
      <w:r w:rsidRPr="008B3F4B">
        <w:rPr>
          <w:rFonts w:asciiTheme="minorHAnsi" w:eastAsia="Times New Roman" w:hAnsiTheme="minorHAnsi" w:cstheme="minorHAnsi"/>
          <w:color w:val="3D3B39"/>
          <w:lang w:eastAsia="it-IT"/>
        </w:rPr>
        <w:br/>
        <w:t xml:space="preserve">4.3) La delibera impugnata recita ulteriormente come segue: </w:t>
      </w:r>
      <w:r w:rsidRPr="008B3F4B">
        <w:rPr>
          <w:rFonts w:asciiTheme="minorHAnsi" w:eastAsia="Times New Roman" w:hAnsiTheme="minorHAnsi" w:cstheme="minorHAnsi"/>
          <w:color w:val="3D3B39"/>
          <w:lang w:eastAsia="it-IT"/>
        </w:rPr>
        <w:br/>
        <w:t>- “</w:t>
      </w:r>
      <w:r w:rsidRPr="008B3F4B">
        <w:rPr>
          <w:rFonts w:asciiTheme="minorHAnsi" w:eastAsia="Times New Roman" w:hAnsiTheme="minorHAnsi" w:cstheme="minorHAnsi"/>
          <w:i/>
          <w:iCs/>
          <w:color w:val="3D3B39"/>
          <w:lang w:eastAsia="it-IT"/>
        </w:rPr>
        <w:t xml:space="preserve">DATO ATTO che, al fine di accertare la veridicità di quanto significato, il </w:t>
      </w:r>
      <w:proofErr w:type="spellStart"/>
      <w:r w:rsidRPr="008B3F4B">
        <w:rPr>
          <w:rFonts w:asciiTheme="minorHAnsi" w:eastAsia="Times New Roman" w:hAnsiTheme="minorHAnsi" w:cstheme="minorHAnsi"/>
          <w:i/>
          <w:iCs/>
          <w:color w:val="3D3B39"/>
          <w:lang w:eastAsia="it-IT"/>
        </w:rPr>
        <w:t>Rup</w:t>
      </w:r>
      <w:proofErr w:type="spellEnd"/>
      <w:r w:rsidRPr="008B3F4B">
        <w:rPr>
          <w:rFonts w:asciiTheme="minorHAnsi" w:eastAsia="Times New Roman" w:hAnsiTheme="minorHAnsi" w:cstheme="minorHAnsi"/>
          <w:i/>
          <w:iCs/>
          <w:color w:val="3D3B39"/>
          <w:lang w:eastAsia="it-IT"/>
        </w:rPr>
        <w:t xml:space="preserve"> ha richiesto alle strutture interessate copia dei verbali di sopralluogo effettuati dal concorrente SJD, onde procedere al riscontro con quanto dal medesimo presentato in sede di partecipazione alla gara (offerta </w:t>
      </w:r>
      <w:proofErr w:type="spellStart"/>
      <w:r w:rsidRPr="008B3F4B">
        <w:rPr>
          <w:rFonts w:asciiTheme="minorHAnsi" w:eastAsia="Times New Roman" w:hAnsiTheme="minorHAnsi" w:cstheme="minorHAnsi"/>
          <w:i/>
          <w:iCs/>
          <w:color w:val="3D3B39"/>
          <w:lang w:eastAsia="it-IT"/>
        </w:rPr>
        <w:t>prot</w:t>
      </w:r>
      <w:proofErr w:type="spellEnd"/>
      <w:r w:rsidRPr="008B3F4B">
        <w:rPr>
          <w:rFonts w:asciiTheme="minorHAnsi" w:eastAsia="Times New Roman" w:hAnsiTheme="minorHAnsi" w:cstheme="minorHAnsi"/>
          <w:i/>
          <w:iCs/>
          <w:color w:val="3D3B39"/>
          <w:lang w:eastAsia="it-IT"/>
        </w:rPr>
        <w:t xml:space="preserve">. </w:t>
      </w:r>
      <w:proofErr w:type="spellStart"/>
      <w:r w:rsidRPr="008B3F4B">
        <w:rPr>
          <w:rFonts w:asciiTheme="minorHAnsi" w:eastAsia="Times New Roman" w:hAnsiTheme="minorHAnsi" w:cstheme="minorHAnsi"/>
          <w:i/>
          <w:iCs/>
          <w:color w:val="3D3B39"/>
          <w:lang w:eastAsia="it-IT"/>
        </w:rPr>
        <w:t>EmPulia</w:t>
      </w:r>
      <w:proofErr w:type="spellEnd"/>
      <w:r w:rsidRPr="008B3F4B">
        <w:rPr>
          <w:rFonts w:asciiTheme="minorHAnsi" w:eastAsia="Times New Roman" w:hAnsiTheme="minorHAnsi" w:cstheme="minorHAnsi"/>
          <w:i/>
          <w:iCs/>
          <w:color w:val="3D3B39"/>
          <w:lang w:eastAsia="it-IT"/>
        </w:rPr>
        <w:t xml:space="preserve"> n. PI203762-18 del 29/10/2018)</w:t>
      </w:r>
      <w:r w:rsidRPr="008B3F4B">
        <w:rPr>
          <w:rFonts w:asciiTheme="minorHAnsi" w:eastAsia="Times New Roman" w:hAnsiTheme="minorHAnsi" w:cstheme="minorHAnsi"/>
          <w:color w:val="3D3B39"/>
          <w:lang w:eastAsia="it-IT"/>
        </w:rPr>
        <w:t xml:space="preserve">”; </w:t>
      </w:r>
      <w:r w:rsidRPr="008B3F4B">
        <w:rPr>
          <w:rFonts w:asciiTheme="minorHAnsi" w:eastAsia="Times New Roman" w:hAnsiTheme="minorHAnsi" w:cstheme="minorHAnsi"/>
          <w:color w:val="3D3B39"/>
          <w:lang w:eastAsia="it-IT"/>
        </w:rPr>
        <w:br/>
        <w:t>- “</w:t>
      </w:r>
      <w:r w:rsidRPr="008B3F4B">
        <w:rPr>
          <w:rFonts w:asciiTheme="minorHAnsi" w:eastAsia="Times New Roman" w:hAnsiTheme="minorHAnsi" w:cstheme="minorHAnsi"/>
          <w:i/>
          <w:iCs/>
          <w:color w:val="3D3B39"/>
          <w:lang w:eastAsia="it-IT"/>
        </w:rPr>
        <w:t xml:space="preserve">ACCERTATO che dai riscontri effettuati è emerso effettivamente, giusta dichiarazione del funzionario della Direzione Amministrativa del P.O. San Pio da Pietrelcina di Castellaneta, che, nei giorni sopra riportati, nessun sopralluogo è stato effettuato nei locali indicati dall’operatore economico SJD; mentre risulta effettuato il sopralluogo relativo alla prima indizione della procedura successivamente annullata. Invero identica circostanza è stata riscontrata presso il P.O. Orientale M. </w:t>
      </w:r>
      <w:proofErr w:type="spellStart"/>
      <w:r w:rsidRPr="008B3F4B">
        <w:rPr>
          <w:rFonts w:asciiTheme="minorHAnsi" w:eastAsia="Times New Roman" w:hAnsiTheme="minorHAnsi" w:cstheme="minorHAnsi"/>
          <w:i/>
          <w:iCs/>
          <w:color w:val="3D3B39"/>
          <w:lang w:eastAsia="it-IT"/>
        </w:rPr>
        <w:t>Giannuzzi</w:t>
      </w:r>
      <w:proofErr w:type="spellEnd"/>
      <w:r w:rsidRPr="008B3F4B">
        <w:rPr>
          <w:rFonts w:asciiTheme="minorHAnsi" w:eastAsia="Times New Roman" w:hAnsiTheme="minorHAnsi" w:cstheme="minorHAnsi"/>
          <w:i/>
          <w:iCs/>
          <w:color w:val="3D3B39"/>
          <w:lang w:eastAsia="it-IT"/>
        </w:rPr>
        <w:t xml:space="preserve"> di Manduria, giusta dichiarazione del funzionario della Direzione Amministrativa del medesimo Presidio, che attesta l’unico sopralluogo relativo alla prima indizione della procedura</w:t>
      </w:r>
      <w:r w:rsidRPr="008B3F4B">
        <w:rPr>
          <w:rFonts w:asciiTheme="minorHAnsi" w:eastAsia="Times New Roman" w:hAnsiTheme="minorHAnsi" w:cstheme="minorHAnsi"/>
          <w:color w:val="3D3B39"/>
          <w:lang w:eastAsia="it-IT"/>
        </w:rPr>
        <w:t xml:space="preserve">”; </w:t>
      </w:r>
      <w:r w:rsidRPr="008B3F4B">
        <w:rPr>
          <w:rFonts w:asciiTheme="minorHAnsi" w:eastAsia="Times New Roman" w:hAnsiTheme="minorHAnsi" w:cstheme="minorHAnsi"/>
          <w:color w:val="3D3B39"/>
          <w:lang w:eastAsia="it-IT"/>
        </w:rPr>
        <w:br/>
        <w:t>- “</w:t>
      </w:r>
      <w:r w:rsidRPr="008B3F4B">
        <w:rPr>
          <w:rFonts w:asciiTheme="minorHAnsi" w:eastAsia="Times New Roman" w:hAnsiTheme="minorHAnsi" w:cstheme="minorHAnsi"/>
          <w:i/>
          <w:iCs/>
          <w:color w:val="3D3B39"/>
          <w:lang w:eastAsia="it-IT"/>
        </w:rPr>
        <w:t xml:space="preserve">VERIFICATO che al contrario, tra gli atti trasmessi con l’offerta PI203762-18 sopra citata dalla ditta SJD </w:t>
      </w:r>
      <w:proofErr w:type="spellStart"/>
      <w:r w:rsidRPr="008B3F4B">
        <w:rPr>
          <w:rFonts w:asciiTheme="minorHAnsi" w:eastAsia="Times New Roman" w:hAnsiTheme="minorHAnsi" w:cstheme="minorHAnsi"/>
          <w:i/>
          <w:iCs/>
          <w:color w:val="3D3B39"/>
          <w:lang w:eastAsia="it-IT"/>
        </w:rPr>
        <w:t>srl</w:t>
      </w:r>
      <w:proofErr w:type="spellEnd"/>
      <w:r w:rsidRPr="008B3F4B">
        <w:rPr>
          <w:rFonts w:asciiTheme="minorHAnsi" w:eastAsia="Times New Roman" w:hAnsiTheme="minorHAnsi" w:cstheme="minorHAnsi"/>
          <w:i/>
          <w:iCs/>
          <w:color w:val="3D3B39"/>
          <w:lang w:eastAsia="it-IT"/>
        </w:rPr>
        <w:t>, si rinvengono attestazioni di sopralluoghi effettuati nel periodo compreso tra il 23 settembre ed il 12 ottobre presso diverse strutture aziendali oggetto della gara, tutte controfirmate da funzionari dell’Azienda. Attestazioni che, in ragione delle dichiarazioni dei funzionari aziendali, risultano false, pur essendo attestati con autocertificazione</w:t>
      </w:r>
      <w:r w:rsidRPr="008B3F4B">
        <w:rPr>
          <w:rFonts w:asciiTheme="minorHAnsi" w:eastAsia="Times New Roman" w:hAnsiTheme="minorHAnsi" w:cstheme="minorHAnsi"/>
          <w:color w:val="3D3B39"/>
          <w:lang w:eastAsia="it-IT"/>
        </w:rPr>
        <w:t xml:space="preserve"> […]”; </w:t>
      </w:r>
      <w:r w:rsidRPr="008B3F4B">
        <w:rPr>
          <w:rFonts w:asciiTheme="minorHAnsi" w:eastAsia="Times New Roman" w:hAnsiTheme="minorHAnsi" w:cstheme="minorHAnsi"/>
          <w:color w:val="3D3B39"/>
          <w:lang w:eastAsia="it-IT"/>
        </w:rPr>
        <w:br/>
        <w:t>- “</w:t>
      </w:r>
      <w:r w:rsidRPr="008B3F4B">
        <w:rPr>
          <w:rFonts w:asciiTheme="minorHAnsi" w:eastAsia="Times New Roman" w:hAnsiTheme="minorHAnsi" w:cstheme="minorHAnsi"/>
          <w:i/>
          <w:iCs/>
          <w:color w:val="3D3B39"/>
          <w:lang w:eastAsia="it-IT"/>
        </w:rPr>
        <w:t xml:space="preserve">VERIFICATO altresì che da un più attento riesame della documentazione risulta del tutto evidente che le attestazioni sono materialmente contraffatte - atteso che riportano le firme dei funzionari che hanno sottoscritto le medesime per i sopralluoghi svolti in occasione della prima procedura, poi annullata - e che </w:t>
      </w:r>
      <w:proofErr w:type="spellStart"/>
      <w:r w:rsidRPr="008B3F4B">
        <w:rPr>
          <w:rFonts w:asciiTheme="minorHAnsi" w:eastAsia="Times New Roman" w:hAnsiTheme="minorHAnsi" w:cstheme="minorHAnsi"/>
          <w:i/>
          <w:iCs/>
          <w:color w:val="3D3B39"/>
          <w:lang w:eastAsia="it-IT"/>
        </w:rPr>
        <w:t>ictu</w:t>
      </w:r>
      <w:proofErr w:type="spellEnd"/>
      <w:r w:rsidRPr="008B3F4B">
        <w:rPr>
          <w:rFonts w:asciiTheme="minorHAnsi" w:eastAsia="Times New Roman" w:hAnsiTheme="minorHAnsi" w:cstheme="minorHAnsi"/>
          <w:i/>
          <w:iCs/>
          <w:color w:val="3D3B39"/>
          <w:lang w:eastAsia="it-IT"/>
        </w:rPr>
        <w:t xml:space="preserve"> oculi evidenziano la contraffazione della data</w:t>
      </w:r>
      <w:r w:rsidRPr="008B3F4B">
        <w:rPr>
          <w:rFonts w:asciiTheme="minorHAnsi" w:eastAsia="Times New Roman" w:hAnsiTheme="minorHAnsi" w:cstheme="minorHAnsi"/>
          <w:color w:val="3D3B39"/>
          <w:lang w:eastAsia="it-IT"/>
        </w:rPr>
        <w:t xml:space="preserve">”; </w:t>
      </w:r>
      <w:r w:rsidRPr="008B3F4B">
        <w:rPr>
          <w:rFonts w:asciiTheme="minorHAnsi" w:eastAsia="Times New Roman" w:hAnsiTheme="minorHAnsi" w:cstheme="minorHAnsi"/>
          <w:color w:val="3D3B39"/>
          <w:lang w:eastAsia="it-IT"/>
        </w:rPr>
        <w:br/>
        <w:t>- “</w:t>
      </w:r>
      <w:r w:rsidRPr="008B3F4B">
        <w:rPr>
          <w:rFonts w:asciiTheme="minorHAnsi" w:eastAsia="Times New Roman" w:hAnsiTheme="minorHAnsi" w:cstheme="minorHAnsi"/>
          <w:i/>
          <w:iCs/>
          <w:color w:val="3D3B39"/>
          <w:lang w:eastAsia="it-IT"/>
        </w:rPr>
        <w:t>ACCERTATO che alla contraffazione dei documenti - anche al fine di falsificare la realtà di fatti mai accaduti (il sopralluogo), oltre che addirittura far risultare la sottoscrizione dell’atto da parte di un dipendente pubblico artificiosamente facendone risultare un atto di volontà e certificazione nei fatti mai espressa né avvenuta - deve aggiungersi la piena volontarietà delle circostanze contestate, alla luce dell’espresso chiarimento reso dalla SA in sede di gara e in riscontro a specifico quesito posto da altro concorrente:</w:t>
      </w:r>
      <w:r w:rsidRPr="008B3F4B">
        <w:rPr>
          <w:rFonts w:asciiTheme="minorHAnsi" w:eastAsia="Times New Roman" w:hAnsiTheme="minorHAnsi" w:cstheme="minorHAnsi"/>
          <w:color w:val="3D3B39"/>
          <w:lang w:eastAsia="it-IT"/>
        </w:rPr>
        <w:t xml:space="preserve"> </w:t>
      </w:r>
      <w:r w:rsidRPr="008B3F4B">
        <w:rPr>
          <w:rFonts w:asciiTheme="minorHAnsi" w:eastAsia="Times New Roman" w:hAnsiTheme="minorHAnsi" w:cstheme="minorHAnsi"/>
          <w:color w:val="3D3B39"/>
          <w:lang w:eastAsia="it-IT"/>
        </w:rPr>
        <w:br/>
      </w:r>
      <w:r w:rsidRPr="008B3F4B">
        <w:rPr>
          <w:rFonts w:asciiTheme="minorHAnsi" w:eastAsia="Times New Roman" w:hAnsiTheme="minorHAnsi" w:cstheme="minorHAnsi"/>
          <w:i/>
          <w:iCs/>
          <w:color w:val="3D3B39"/>
          <w:lang w:eastAsia="it-IT"/>
        </w:rPr>
        <w:t>«DOMANDA</w:t>
      </w:r>
      <w:r w:rsidRPr="008B3F4B">
        <w:rPr>
          <w:rFonts w:asciiTheme="minorHAnsi" w:eastAsia="Times New Roman" w:hAnsiTheme="minorHAnsi" w:cstheme="minorHAnsi"/>
          <w:color w:val="3D3B39"/>
          <w:lang w:eastAsia="it-IT"/>
        </w:rPr>
        <w:t xml:space="preserve"> </w:t>
      </w:r>
      <w:r w:rsidRPr="008B3F4B">
        <w:rPr>
          <w:rFonts w:asciiTheme="minorHAnsi" w:eastAsia="Times New Roman" w:hAnsiTheme="minorHAnsi" w:cstheme="minorHAnsi"/>
          <w:color w:val="3D3B39"/>
          <w:lang w:eastAsia="it-IT"/>
        </w:rPr>
        <w:br/>
      </w:r>
      <w:r w:rsidRPr="008B3F4B">
        <w:rPr>
          <w:rFonts w:asciiTheme="minorHAnsi" w:eastAsia="Times New Roman" w:hAnsiTheme="minorHAnsi" w:cstheme="minorHAnsi"/>
          <w:i/>
          <w:iCs/>
          <w:color w:val="3D3B39"/>
          <w:lang w:eastAsia="it-IT"/>
        </w:rPr>
        <w:t xml:space="preserve">È possibile inserire nella documentazione amministrativa le ricevute degli avvenuti sopralluoghi, relativamente al Lotto n.5, effettuati per la gara con scadenza 20.08.2018 con stesso C.I.G. e poi annullata? </w:t>
      </w:r>
      <w:r w:rsidRPr="008B3F4B">
        <w:rPr>
          <w:rFonts w:asciiTheme="minorHAnsi" w:eastAsia="Times New Roman" w:hAnsiTheme="minorHAnsi" w:cstheme="minorHAnsi"/>
          <w:i/>
          <w:iCs/>
          <w:color w:val="3D3B39"/>
          <w:lang w:eastAsia="it-IT"/>
        </w:rPr>
        <w:lastRenderedPageBreak/>
        <w:t>o bisogna rifarli di nuovo?</w:t>
      </w:r>
      <w:r w:rsidRPr="008B3F4B">
        <w:rPr>
          <w:rFonts w:asciiTheme="minorHAnsi" w:eastAsia="Times New Roman" w:hAnsiTheme="minorHAnsi" w:cstheme="minorHAnsi"/>
          <w:color w:val="3D3B39"/>
          <w:lang w:eastAsia="it-IT"/>
        </w:rPr>
        <w:t xml:space="preserve"> </w:t>
      </w:r>
      <w:r w:rsidRPr="008B3F4B">
        <w:rPr>
          <w:rFonts w:asciiTheme="minorHAnsi" w:eastAsia="Times New Roman" w:hAnsiTheme="minorHAnsi" w:cstheme="minorHAnsi"/>
          <w:color w:val="3D3B39"/>
          <w:lang w:eastAsia="it-IT"/>
        </w:rPr>
        <w:br/>
      </w:r>
      <w:r w:rsidRPr="008B3F4B">
        <w:rPr>
          <w:rFonts w:asciiTheme="minorHAnsi" w:eastAsia="Times New Roman" w:hAnsiTheme="minorHAnsi" w:cstheme="minorHAnsi"/>
          <w:i/>
          <w:iCs/>
          <w:color w:val="3D3B39"/>
          <w:lang w:eastAsia="it-IT"/>
        </w:rPr>
        <w:t>RISPOSTA</w:t>
      </w:r>
      <w:r w:rsidRPr="008B3F4B">
        <w:rPr>
          <w:rFonts w:asciiTheme="minorHAnsi" w:eastAsia="Times New Roman" w:hAnsiTheme="minorHAnsi" w:cstheme="minorHAnsi"/>
          <w:color w:val="3D3B39"/>
          <w:lang w:eastAsia="it-IT"/>
        </w:rPr>
        <w:t xml:space="preserve"> </w:t>
      </w:r>
      <w:r w:rsidRPr="008B3F4B">
        <w:rPr>
          <w:rFonts w:asciiTheme="minorHAnsi" w:eastAsia="Times New Roman" w:hAnsiTheme="minorHAnsi" w:cstheme="minorHAnsi"/>
          <w:color w:val="3D3B39"/>
          <w:lang w:eastAsia="it-IT"/>
        </w:rPr>
        <w:br/>
      </w:r>
      <w:r w:rsidRPr="008B3F4B">
        <w:rPr>
          <w:rFonts w:asciiTheme="minorHAnsi" w:eastAsia="Times New Roman" w:hAnsiTheme="minorHAnsi" w:cstheme="minorHAnsi"/>
          <w:i/>
          <w:iCs/>
          <w:color w:val="3D3B39"/>
          <w:lang w:eastAsia="it-IT"/>
        </w:rPr>
        <w:t>Non è possibile inserire il modello di avvenuto sopralluogo della gara con scadenza 20.08.2018 in quanto trattasi di nuova procedura (…)»”;</w:t>
      </w:r>
      <w:r w:rsidRPr="008B3F4B">
        <w:rPr>
          <w:rFonts w:asciiTheme="minorHAnsi" w:eastAsia="Times New Roman" w:hAnsiTheme="minorHAnsi" w:cstheme="minorHAnsi"/>
          <w:color w:val="3D3B39"/>
          <w:lang w:eastAsia="it-IT"/>
        </w:rPr>
        <w:t xml:space="preserve"> </w:t>
      </w:r>
      <w:r w:rsidRPr="008B3F4B">
        <w:rPr>
          <w:rFonts w:asciiTheme="minorHAnsi" w:eastAsia="Times New Roman" w:hAnsiTheme="minorHAnsi" w:cstheme="minorHAnsi"/>
          <w:color w:val="3D3B39"/>
          <w:lang w:eastAsia="it-IT"/>
        </w:rPr>
        <w:br/>
        <w:t>- “</w:t>
      </w:r>
      <w:r w:rsidRPr="008B3F4B">
        <w:rPr>
          <w:rFonts w:asciiTheme="minorHAnsi" w:eastAsia="Times New Roman" w:hAnsiTheme="minorHAnsi" w:cstheme="minorHAnsi"/>
          <w:i/>
          <w:iCs/>
          <w:color w:val="3D3B39"/>
          <w:lang w:eastAsia="it-IT"/>
        </w:rPr>
        <w:t>VERIFICATO che la falsità della documentazione (le dichiarazioni) rese in sede di partecipazione alla procedura rileva ai fini della affidabilità della ditta, stante la falsificazione materiale dei verbali di sopralluogo per cui si ravvisa a carico del concorrente una condotta ancor più riprovevole, atteso che i documenti contraffatti risulterebbero controfirmati da funzionari della SA, preposti al rilascio della ricevuta, che invece avevano sottoscritto solo quelli relativi alla prima indizione della procedura</w:t>
      </w:r>
      <w:r w:rsidRPr="008B3F4B">
        <w:rPr>
          <w:rFonts w:asciiTheme="minorHAnsi" w:eastAsia="Times New Roman" w:hAnsiTheme="minorHAnsi" w:cstheme="minorHAnsi"/>
          <w:color w:val="3D3B39"/>
          <w:lang w:eastAsia="it-IT"/>
        </w:rPr>
        <w:t xml:space="preserve">”; </w:t>
      </w:r>
      <w:r w:rsidRPr="008B3F4B">
        <w:rPr>
          <w:rFonts w:asciiTheme="minorHAnsi" w:eastAsia="Times New Roman" w:hAnsiTheme="minorHAnsi" w:cstheme="minorHAnsi"/>
          <w:color w:val="3D3B39"/>
          <w:lang w:eastAsia="it-IT"/>
        </w:rPr>
        <w:br/>
        <w:t>- “</w:t>
      </w:r>
      <w:r w:rsidRPr="008B3F4B">
        <w:rPr>
          <w:rFonts w:asciiTheme="minorHAnsi" w:eastAsia="Times New Roman" w:hAnsiTheme="minorHAnsi" w:cstheme="minorHAnsi"/>
          <w:i/>
          <w:iCs/>
          <w:color w:val="3D3B39"/>
          <w:lang w:eastAsia="it-IT"/>
        </w:rPr>
        <w:t xml:space="preserve">DATO ATTO che, come sancito dalla giurisprudenza del </w:t>
      </w:r>
      <w:proofErr w:type="spellStart"/>
      <w:r w:rsidRPr="008B3F4B">
        <w:rPr>
          <w:rFonts w:asciiTheme="minorHAnsi" w:eastAsia="Times New Roman" w:hAnsiTheme="minorHAnsi" w:cstheme="minorHAnsi"/>
          <w:i/>
          <w:iCs/>
          <w:color w:val="3D3B39"/>
          <w:lang w:eastAsia="it-IT"/>
        </w:rPr>
        <w:t>CdS</w:t>
      </w:r>
      <w:proofErr w:type="spellEnd"/>
      <w:r w:rsidRPr="008B3F4B">
        <w:rPr>
          <w:rFonts w:asciiTheme="minorHAnsi" w:eastAsia="Times New Roman" w:hAnsiTheme="minorHAnsi" w:cstheme="minorHAnsi"/>
          <w:i/>
          <w:iCs/>
          <w:color w:val="3D3B39"/>
          <w:lang w:eastAsia="it-IT"/>
        </w:rPr>
        <w:t>, l’intero sistema della disciplina delle procedure di evidenza pubblica poggia sulla presentazione, da parte delle imprese concorrenti, di dichiarazioni sostitutive che le vincolano in base all’elementare principio dell’</w:t>
      </w:r>
      <w:proofErr w:type="spellStart"/>
      <w:r w:rsidRPr="008B3F4B">
        <w:rPr>
          <w:rFonts w:asciiTheme="minorHAnsi" w:eastAsia="Times New Roman" w:hAnsiTheme="minorHAnsi" w:cstheme="minorHAnsi"/>
          <w:i/>
          <w:iCs/>
          <w:color w:val="3D3B39"/>
          <w:lang w:eastAsia="it-IT"/>
        </w:rPr>
        <w:t>autoresponsabilità</w:t>
      </w:r>
      <w:proofErr w:type="spellEnd"/>
      <w:r w:rsidRPr="008B3F4B">
        <w:rPr>
          <w:rFonts w:asciiTheme="minorHAnsi" w:eastAsia="Times New Roman" w:hAnsiTheme="minorHAnsi" w:cstheme="minorHAnsi"/>
          <w:i/>
          <w:iCs/>
          <w:color w:val="3D3B39"/>
          <w:lang w:eastAsia="it-IT"/>
        </w:rPr>
        <w:t xml:space="preserve"> e che devono essere rese con diligenza e veridicità</w:t>
      </w:r>
      <w:r w:rsidRPr="008B3F4B">
        <w:rPr>
          <w:rFonts w:asciiTheme="minorHAnsi" w:eastAsia="Times New Roman" w:hAnsiTheme="minorHAnsi" w:cstheme="minorHAnsi"/>
          <w:color w:val="3D3B39"/>
          <w:lang w:eastAsia="it-IT"/>
        </w:rPr>
        <w:t xml:space="preserve">”; </w:t>
      </w:r>
      <w:r w:rsidRPr="008B3F4B">
        <w:rPr>
          <w:rFonts w:asciiTheme="minorHAnsi" w:eastAsia="Times New Roman" w:hAnsiTheme="minorHAnsi" w:cstheme="minorHAnsi"/>
          <w:color w:val="3D3B39"/>
          <w:lang w:eastAsia="it-IT"/>
        </w:rPr>
        <w:br/>
        <w:t>- “</w:t>
      </w:r>
      <w:r w:rsidRPr="008B3F4B">
        <w:rPr>
          <w:rFonts w:asciiTheme="minorHAnsi" w:eastAsia="Times New Roman" w:hAnsiTheme="minorHAnsi" w:cstheme="minorHAnsi"/>
          <w:i/>
          <w:iCs/>
          <w:color w:val="3D3B39"/>
          <w:lang w:eastAsia="it-IT"/>
        </w:rPr>
        <w:t xml:space="preserve">ATTESO che le condotte rappresentate e l’estrema gravità di cui sono connotate concretizzano la fattispecie espulsiva di cui all’art. 80, comma 5, </w:t>
      </w:r>
      <w:proofErr w:type="spellStart"/>
      <w:r w:rsidRPr="008B3F4B">
        <w:rPr>
          <w:rFonts w:asciiTheme="minorHAnsi" w:eastAsia="Times New Roman" w:hAnsiTheme="minorHAnsi" w:cstheme="minorHAnsi"/>
          <w:i/>
          <w:iCs/>
          <w:color w:val="3D3B39"/>
          <w:lang w:eastAsia="it-IT"/>
        </w:rPr>
        <w:t>lett</w:t>
      </w:r>
      <w:proofErr w:type="spellEnd"/>
      <w:r w:rsidRPr="008B3F4B">
        <w:rPr>
          <w:rFonts w:asciiTheme="minorHAnsi" w:eastAsia="Times New Roman" w:hAnsiTheme="minorHAnsi" w:cstheme="minorHAnsi"/>
          <w:i/>
          <w:iCs/>
          <w:color w:val="3D3B39"/>
          <w:lang w:eastAsia="it-IT"/>
        </w:rPr>
        <w:t xml:space="preserve">. f-bis del D. </w:t>
      </w:r>
      <w:proofErr w:type="spellStart"/>
      <w:r w:rsidRPr="008B3F4B">
        <w:rPr>
          <w:rFonts w:asciiTheme="minorHAnsi" w:eastAsia="Times New Roman" w:hAnsiTheme="minorHAnsi" w:cstheme="minorHAnsi"/>
          <w:i/>
          <w:iCs/>
          <w:color w:val="3D3B39"/>
          <w:lang w:eastAsia="it-IT"/>
        </w:rPr>
        <w:t>Lgs</w:t>
      </w:r>
      <w:proofErr w:type="spellEnd"/>
      <w:r w:rsidRPr="008B3F4B">
        <w:rPr>
          <w:rFonts w:asciiTheme="minorHAnsi" w:eastAsia="Times New Roman" w:hAnsiTheme="minorHAnsi" w:cstheme="minorHAnsi"/>
          <w:i/>
          <w:iCs/>
          <w:color w:val="3D3B39"/>
          <w:lang w:eastAsia="it-IT"/>
        </w:rPr>
        <w:t>. n. 50/16</w:t>
      </w:r>
      <w:r w:rsidRPr="008B3F4B">
        <w:rPr>
          <w:rFonts w:asciiTheme="minorHAnsi" w:eastAsia="Times New Roman" w:hAnsiTheme="minorHAnsi" w:cstheme="minorHAnsi"/>
          <w:color w:val="3D3B39"/>
          <w:lang w:eastAsia="it-IT"/>
        </w:rPr>
        <w:t> […] </w:t>
      </w:r>
      <w:r w:rsidRPr="008B3F4B">
        <w:rPr>
          <w:rFonts w:asciiTheme="minorHAnsi" w:eastAsia="Times New Roman" w:hAnsiTheme="minorHAnsi" w:cstheme="minorHAnsi"/>
          <w:i/>
          <w:iCs/>
          <w:color w:val="3D3B39"/>
          <w:lang w:eastAsia="it-IT"/>
        </w:rPr>
        <w:t xml:space="preserve">oltre che comportare tutte le ulteriori conseguenze di cui agli articoli 80, comma 12 del medesimo </w:t>
      </w:r>
      <w:proofErr w:type="spellStart"/>
      <w:r w:rsidRPr="008B3F4B">
        <w:rPr>
          <w:rFonts w:asciiTheme="minorHAnsi" w:eastAsia="Times New Roman" w:hAnsiTheme="minorHAnsi" w:cstheme="minorHAnsi"/>
          <w:i/>
          <w:iCs/>
          <w:color w:val="3D3B39"/>
          <w:lang w:eastAsia="it-IT"/>
        </w:rPr>
        <w:t>Dlgs</w:t>
      </w:r>
      <w:proofErr w:type="spellEnd"/>
      <w:r w:rsidRPr="008B3F4B">
        <w:rPr>
          <w:rFonts w:asciiTheme="minorHAnsi" w:eastAsia="Times New Roman" w:hAnsiTheme="minorHAnsi" w:cstheme="minorHAnsi"/>
          <w:i/>
          <w:iCs/>
          <w:color w:val="3D3B39"/>
          <w:lang w:eastAsia="it-IT"/>
        </w:rPr>
        <w:t>. e 76 del DPR n. 445/00</w:t>
      </w:r>
      <w:r w:rsidRPr="008B3F4B">
        <w:rPr>
          <w:rFonts w:asciiTheme="minorHAnsi" w:eastAsia="Times New Roman" w:hAnsiTheme="minorHAnsi" w:cstheme="minorHAnsi"/>
          <w:color w:val="3D3B39"/>
          <w:lang w:eastAsia="it-IT"/>
        </w:rPr>
        <w:t xml:space="preserve">”. </w:t>
      </w:r>
      <w:r w:rsidRPr="008B3F4B">
        <w:rPr>
          <w:rFonts w:asciiTheme="minorHAnsi" w:eastAsia="Times New Roman" w:hAnsiTheme="minorHAnsi" w:cstheme="minorHAnsi"/>
          <w:color w:val="3D3B39"/>
          <w:lang w:eastAsia="it-IT"/>
        </w:rPr>
        <w:br/>
        <w:t xml:space="preserve">4.4) Tutto ciò premesso e considerato, il suddetto provvedimento ha determinato di: </w:t>
      </w:r>
      <w:r w:rsidRPr="008B3F4B">
        <w:rPr>
          <w:rFonts w:asciiTheme="minorHAnsi" w:eastAsia="Times New Roman" w:hAnsiTheme="minorHAnsi" w:cstheme="minorHAnsi"/>
          <w:color w:val="3D3B39"/>
          <w:lang w:eastAsia="it-IT"/>
        </w:rPr>
        <w:br/>
        <w:t xml:space="preserve">- escludere la ricorrente dalla procedura di gara in oggetto; </w:t>
      </w:r>
      <w:r w:rsidRPr="008B3F4B">
        <w:rPr>
          <w:rFonts w:asciiTheme="minorHAnsi" w:eastAsia="Times New Roman" w:hAnsiTheme="minorHAnsi" w:cstheme="minorHAnsi"/>
          <w:color w:val="3D3B39"/>
          <w:lang w:eastAsia="it-IT"/>
        </w:rPr>
        <w:br/>
        <w:t xml:space="preserve">- escutere la garanzia prestata dalla ricorrente per tutti i lotti ai quali ha partecipato; </w:t>
      </w:r>
      <w:r w:rsidRPr="008B3F4B">
        <w:rPr>
          <w:rFonts w:asciiTheme="minorHAnsi" w:eastAsia="Times New Roman" w:hAnsiTheme="minorHAnsi" w:cstheme="minorHAnsi"/>
          <w:color w:val="3D3B39"/>
          <w:lang w:eastAsia="it-IT"/>
        </w:rPr>
        <w:br/>
        <w:t xml:space="preserve">- segnalare l’accaduto all’ANAC e alla competente Procura della Repubblica, per quanto riguarda le dichiarazioni mendaci rese. </w:t>
      </w:r>
      <w:r w:rsidRPr="008B3F4B">
        <w:rPr>
          <w:rFonts w:asciiTheme="minorHAnsi" w:eastAsia="Times New Roman" w:hAnsiTheme="minorHAnsi" w:cstheme="minorHAnsi"/>
          <w:color w:val="3D3B39"/>
          <w:lang w:eastAsia="it-IT"/>
        </w:rPr>
        <w:br/>
        <w:t xml:space="preserve">5) Con nota </w:t>
      </w:r>
      <w:proofErr w:type="spellStart"/>
      <w:r w:rsidRPr="008B3F4B">
        <w:rPr>
          <w:rFonts w:asciiTheme="minorHAnsi" w:eastAsia="Times New Roman" w:hAnsiTheme="minorHAnsi" w:cstheme="minorHAnsi"/>
          <w:color w:val="3D3B39"/>
          <w:lang w:eastAsia="it-IT"/>
        </w:rPr>
        <w:t>Prot</w:t>
      </w:r>
      <w:proofErr w:type="spellEnd"/>
      <w:r w:rsidRPr="008B3F4B">
        <w:rPr>
          <w:rFonts w:asciiTheme="minorHAnsi" w:eastAsia="Times New Roman" w:hAnsiTheme="minorHAnsi" w:cstheme="minorHAnsi"/>
          <w:color w:val="3D3B39"/>
          <w:lang w:eastAsia="it-IT"/>
        </w:rPr>
        <w:t>. n. 0038708 del 26 febbraio 2019, poi, l’Amministrazione aggiudicatrice ha richiesto alla Compagnia Assicuratrice della ricorrente “</w:t>
      </w:r>
      <w:r w:rsidRPr="008B3F4B">
        <w:rPr>
          <w:rFonts w:asciiTheme="minorHAnsi" w:eastAsia="Times New Roman" w:hAnsiTheme="minorHAnsi" w:cstheme="minorHAnsi"/>
          <w:i/>
          <w:iCs/>
          <w:color w:val="3D3B39"/>
          <w:lang w:eastAsia="it-IT"/>
        </w:rPr>
        <w:t>l’escussione della garanzia fideiussoria per cauzione provvisoria, entro 15 gg dal ricevimento della presente, per l’importo di €. 52.900,00 (omissis) pari alla somma delle polizze presentate in sede di offerta</w:t>
      </w:r>
      <w:r w:rsidRPr="008B3F4B">
        <w:rPr>
          <w:rFonts w:asciiTheme="minorHAnsi" w:eastAsia="Times New Roman" w:hAnsiTheme="minorHAnsi" w:cstheme="minorHAnsi"/>
          <w:color w:val="3D3B39"/>
          <w:lang w:eastAsia="it-IT"/>
        </w:rPr>
        <w:t xml:space="preserve">”. </w:t>
      </w:r>
      <w:r w:rsidRPr="008B3F4B">
        <w:rPr>
          <w:rFonts w:asciiTheme="minorHAnsi" w:eastAsia="Times New Roman" w:hAnsiTheme="minorHAnsi" w:cstheme="minorHAnsi"/>
          <w:color w:val="3D3B39"/>
          <w:lang w:eastAsia="it-IT"/>
        </w:rPr>
        <w:br/>
        <w:t xml:space="preserve">6) Con ulteriore nota </w:t>
      </w:r>
      <w:proofErr w:type="spellStart"/>
      <w:r w:rsidRPr="008B3F4B">
        <w:rPr>
          <w:rFonts w:asciiTheme="minorHAnsi" w:eastAsia="Times New Roman" w:hAnsiTheme="minorHAnsi" w:cstheme="minorHAnsi"/>
          <w:color w:val="3D3B39"/>
          <w:lang w:eastAsia="it-IT"/>
        </w:rPr>
        <w:t>Prot</w:t>
      </w:r>
      <w:proofErr w:type="spellEnd"/>
      <w:r w:rsidRPr="008B3F4B">
        <w:rPr>
          <w:rFonts w:asciiTheme="minorHAnsi" w:eastAsia="Times New Roman" w:hAnsiTheme="minorHAnsi" w:cstheme="minorHAnsi"/>
          <w:color w:val="3D3B39"/>
          <w:lang w:eastAsia="it-IT"/>
        </w:rPr>
        <w:t xml:space="preserve">. n. 0045344 del 7 marzo 2019, infine, l’ASL ha proceduto alla segnalazione all’ANAC. </w:t>
      </w:r>
      <w:r w:rsidRPr="008B3F4B">
        <w:rPr>
          <w:rFonts w:asciiTheme="minorHAnsi" w:eastAsia="Times New Roman" w:hAnsiTheme="minorHAnsi" w:cstheme="minorHAnsi"/>
          <w:color w:val="3D3B39"/>
          <w:lang w:eastAsia="it-IT"/>
        </w:rPr>
        <w:br/>
        <w:t xml:space="preserve">7) Avverso tali atti insorge la ricorrente con il gravame in esame, recante anche richiesta di tutela cautelare. Si sono costituite in giudizio l’ASL di Taranto e l’ANAC. </w:t>
      </w:r>
      <w:r w:rsidRPr="008B3F4B">
        <w:rPr>
          <w:rFonts w:asciiTheme="minorHAnsi" w:eastAsia="Times New Roman" w:hAnsiTheme="minorHAnsi" w:cstheme="minorHAnsi"/>
          <w:color w:val="3D3B39"/>
          <w:lang w:eastAsia="it-IT"/>
        </w:rPr>
        <w:br/>
        <w:t xml:space="preserve">8) Alla camera di consiglio del 16 aprile 2019, la difesa di parte ricorrente ha chiesto un rinvio alla successiva camera di consiglio per la produzione della cartolina di ricevimento relativa alla notifica del ricorso a OMISSIS S.p.A. e la causa è stata introitata ai meri fini della conferma del decreto monocratico cautelare (v. </w:t>
      </w:r>
      <w:proofErr w:type="spellStart"/>
      <w:r w:rsidRPr="008B3F4B">
        <w:rPr>
          <w:rFonts w:asciiTheme="minorHAnsi" w:eastAsia="Times New Roman" w:hAnsiTheme="minorHAnsi" w:cstheme="minorHAnsi"/>
          <w:color w:val="3D3B39"/>
          <w:lang w:eastAsia="it-IT"/>
        </w:rPr>
        <w:t>ord</w:t>
      </w:r>
      <w:proofErr w:type="spellEnd"/>
      <w:r w:rsidRPr="008B3F4B">
        <w:rPr>
          <w:rFonts w:asciiTheme="minorHAnsi" w:eastAsia="Times New Roman" w:hAnsiTheme="minorHAnsi" w:cstheme="minorHAnsi"/>
          <w:color w:val="3D3B39"/>
          <w:lang w:eastAsia="it-IT"/>
        </w:rPr>
        <w:t xml:space="preserve">. di questo Tribunale del 17 aprile 2019, n. 223). </w:t>
      </w:r>
      <w:r w:rsidRPr="008B3F4B">
        <w:rPr>
          <w:rFonts w:asciiTheme="minorHAnsi" w:eastAsia="Times New Roman" w:hAnsiTheme="minorHAnsi" w:cstheme="minorHAnsi"/>
          <w:color w:val="3D3B39"/>
          <w:lang w:eastAsia="it-IT"/>
        </w:rPr>
        <w:br/>
        <w:t xml:space="preserve">9) La difesa di parte ricorrente ha successivamente depositato la suddetta cartolina di ricevimento. OMISSIS S.p.A. e OMISSIS non si sono costituite in giudizio. </w:t>
      </w:r>
      <w:r w:rsidRPr="008B3F4B">
        <w:rPr>
          <w:rFonts w:asciiTheme="minorHAnsi" w:eastAsia="Times New Roman" w:hAnsiTheme="minorHAnsi" w:cstheme="minorHAnsi"/>
          <w:color w:val="3D3B39"/>
          <w:lang w:eastAsia="it-IT"/>
        </w:rPr>
        <w:br/>
        <w:t xml:space="preserve">Alla camera di consiglio del 7 maggio 2019 (alla quale la causa era stata rinviata giusta cit. ordinanza di questo T.A.R.), la difesa di parte ricorrente ha confermato, a verbale, la dichiarazione, già resa nel verbale del 16 aprile 2019, di scioglimento, in senso negativo, della riserva di proposizione di motivi aggiunti e di richiesta di ristoro del pregiudizio subito (in atti). È stato dato avviso alle parti della possibilità dell’adozione della presente decisione in forma semplificata (come da verbale). </w:t>
      </w:r>
    </w:p>
    <w:p w:rsidR="008B3F4B" w:rsidRPr="008B3F4B" w:rsidRDefault="008B3F4B" w:rsidP="008B3F4B">
      <w:pPr>
        <w:spacing w:after="265"/>
        <w:jc w:val="center"/>
        <w:rPr>
          <w:rFonts w:asciiTheme="minorHAnsi" w:eastAsia="Times New Roman" w:hAnsiTheme="minorHAnsi" w:cstheme="minorHAnsi"/>
          <w:color w:val="3D3B39"/>
          <w:lang w:eastAsia="it-IT"/>
        </w:rPr>
      </w:pPr>
      <w:r w:rsidRPr="008B3F4B">
        <w:rPr>
          <w:rFonts w:asciiTheme="minorHAnsi" w:eastAsia="Times New Roman" w:hAnsiTheme="minorHAnsi" w:cstheme="minorHAnsi"/>
          <w:b/>
          <w:bCs/>
          <w:color w:val="3D3B39"/>
          <w:lang w:eastAsia="it-IT"/>
        </w:rPr>
        <w:t>DIRITTO</w:t>
      </w:r>
    </w:p>
    <w:p w:rsidR="008B3F4B" w:rsidRPr="008B3F4B" w:rsidRDefault="008B3F4B" w:rsidP="008B3F4B">
      <w:pPr>
        <w:spacing w:after="265"/>
        <w:rPr>
          <w:rFonts w:asciiTheme="minorHAnsi" w:eastAsia="Times New Roman" w:hAnsiTheme="minorHAnsi" w:cstheme="minorHAnsi"/>
          <w:color w:val="3D3B39"/>
          <w:lang w:eastAsia="it-IT"/>
        </w:rPr>
      </w:pPr>
      <w:r w:rsidRPr="008B3F4B">
        <w:rPr>
          <w:rFonts w:asciiTheme="minorHAnsi" w:eastAsia="Times New Roman" w:hAnsiTheme="minorHAnsi" w:cstheme="minorHAnsi"/>
          <w:color w:val="3D3B39"/>
          <w:lang w:eastAsia="it-IT"/>
        </w:rPr>
        <w:t xml:space="preserve">1) Col primo motivo di ricorso, si deducono: violazione e/o falsa applicazione degli artt. 80, 79, 93, D. </w:t>
      </w:r>
      <w:proofErr w:type="spellStart"/>
      <w:r w:rsidRPr="008B3F4B">
        <w:rPr>
          <w:rFonts w:asciiTheme="minorHAnsi" w:eastAsia="Times New Roman" w:hAnsiTheme="minorHAnsi" w:cstheme="minorHAnsi"/>
          <w:color w:val="3D3B39"/>
          <w:lang w:eastAsia="it-IT"/>
        </w:rPr>
        <w:t>Lgs</w:t>
      </w:r>
      <w:proofErr w:type="spellEnd"/>
      <w:r w:rsidRPr="008B3F4B">
        <w:rPr>
          <w:rFonts w:asciiTheme="minorHAnsi" w:eastAsia="Times New Roman" w:hAnsiTheme="minorHAnsi" w:cstheme="minorHAnsi"/>
          <w:color w:val="3D3B39"/>
          <w:lang w:eastAsia="it-IT"/>
        </w:rPr>
        <w:t xml:space="preserve">. n. 50/2016, degli artt. 45, 46 e 76 D.P.R. n. 445/2000, degli artt. 7, 1, 3 L. n. 241/1990, degli artt. 97 e 41 </w:t>
      </w:r>
      <w:proofErr w:type="spellStart"/>
      <w:r w:rsidRPr="008B3F4B">
        <w:rPr>
          <w:rFonts w:asciiTheme="minorHAnsi" w:eastAsia="Times New Roman" w:hAnsiTheme="minorHAnsi" w:cstheme="minorHAnsi"/>
          <w:color w:val="3D3B39"/>
          <w:lang w:eastAsia="it-IT"/>
        </w:rPr>
        <w:t>Cost</w:t>
      </w:r>
      <w:proofErr w:type="spellEnd"/>
      <w:r w:rsidRPr="008B3F4B">
        <w:rPr>
          <w:rFonts w:asciiTheme="minorHAnsi" w:eastAsia="Times New Roman" w:hAnsiTheme="minorHAnsi" w:cstheme="minorHAnsi"/>
          <w:color w:val="3D3B39"/>
          <w:lang w:eastAsia="it-IT"/>
        </w:rPr>
        <w:t xml:space="preserve">.; eccesso di potere sotto diversi profili, perplessità, contraddittorietà, illogicità, irragionevolezza, sviamento, ingiustizia manifesta, carenza di istruttoria, motivazione incongrua, insufficiente e/o contraddittoria; violazione delle norme sul giusto procedimento. </w:t>
      </w:r>
      <w:r w:rsidRPr="008B3F4B">
        <w:rPr>
          <w:rFonts w:asciiTheme="minorHAnsi" w:eastAsia="Times New Roman" w:hAnsiTheme="minorHAnsi" w:cstheme="minorHAnsi"/>
          <w:color w:val="3D3B39"/>
          <w:lang w:eastAsia="it-IT"/>
        </w:rPr>
        <w:br/>
        <w:t xml:space="preserve">Con tale motivo, parte ricorrente sostiene l’illegittimità del provvedimento gravato per: </w:t>
      </w:r>
      <w:r w:rsidRPr="008B3F4B">
        <w:rPr>
          <w:rFonts w:asciiTheme="minorHAnsi" w:eastAsia="Times New Roman" w:hAnsiTheme="minorHAnsi" w:cstheme="minorHAnsi"/>
          <w:color w:val="3D3B39"/>
          <w:lang w:eastAsia="it-IT"/>
        </w:rPr>
        <w:br/>
        <w:t>- omessa comunicazione di avvio del procedimento di esclusione, </w:t>
      </w:r>
      <w:r w:rsidRPr="008B3F4B">
        <w:rPr>
          <w:rFonts w:asciiTheme="minorHAnsi" w:eastAsia="Times New Roman" w:hAnsiTheme="minorHAnsi" w:cstheme="minorHAnsi"/>
          <w:i/>
          <w:iCs/>
          <w:color w:val="3D3B39"/>
          <w:lang w:eastAsia="it-IT"/>
        </w:rPr>
        <w:t>ex</w:t>
      </w:r>
      <w:r w:rsidRPr="008B3F4B">
        <w:rPr>
          <w:rFonts w:asciiTheme="minorHAnsi" w:eastAsia="Times New Roman" w:hAnsiTheme="minorHAnsi" w:cstheme="minorHAnsi"/>
          <w:color w:val="3D3B39"/>
          <w:lang w:eastAsia="it-IT"/>
        </w:rPr>
        <w:t xml:space="preserve"> art. 7 L. n. 241/1990; </w:t>
      </w:r>
      <w:r w:rsidRPr="008B3F4B">
        <w:rPr>
          <w:rFonts w:asciiTheme="minorHAnsi" w:eastAsia="Times New Roman" w:hAnsiTheme="minorHAnsi" w:cstheme="minorHAnsi"/>
          <w:color w:val="3D3B39"/>
          <w:lang w:eastAsia="it-IT"/>
        </w:rPr>
        <w:br/>
        <w:t>- carenza di motivazione, ai sensi dell’art. 21 </w:t>
      </w:r>
      <w:proofErr w:type="spellStart"/>
      <w:r w:rsidRPr="008B3F4B">
        <w:rPr>
          <w:rFonts w:asciiTheme="minorHAnsi" w:eastAsia="Times New Roman" w:hAnsiTheme="minorHAnsi" w:cstheme="minorHAnsi"/>
          <w:i/>
          <w:iCs/>
          <w:color w:val="3D3B39"/>
          <w:lang w:eastAsia="it-IT"/>
        </w:rPr>
        <w:t>nonies</w:t>
      </w:r>
      <w:proofErr w:type="spellEnd"/>
      <w:r w:rsidRPr="008B3F4B">
        <w:rPr>
          <w:rFonts w:asciiTheme="minorHAnsi" w:eastAsia="Times New Roman" w:hAnsiTheme="minorHAnsi" w:cstheme="minorHAnsi"/>
          <w:color w:val="3D3B39"/>
          <w:lang w:eastAsia="it-IT"/>
        </w:rPr>
        <w:t xml:space="preserve"> L. n. 241/1990, relativamente alla comparazione che, in sede di annullamento in autotutela, dovrebbe operarsi tra l’interesse pubblico e gli interessi del privato. </w:t>
      </w:r>
      <w:r w:rsidRPr="008B3F4B">
        <w:rPr>
          <w:rFonts w:asciiTheme="minorHAnsi" w:eastAsia="Times New Roman" w:hAnsiTheme="minorHAnsi" w:cstheme="minorHAnsi"/>
          <w:color w:val="3D3B39"/>
          <w:lang w:eastAsia="it-IT"/>
        </w:rPr>
        <w:br/>
        <w:t xml:space="preserve">1.1) Il motivo è infondato perché: </w:t>
      </w:r>
      <w:r w:rsidRPr="008B3F4B">
        <w:rPr>
          <w:rFonts w:asciiTheme="minorHAnsi" w:eastAsia="Times New Roman" w:hAnsiTheme="minorHAnsi" w:cstheme="minorHAnsi"/>
          <w:color w:val="3D3B39"/>
          <w:lang w:eastAsia="it-IT"/>
        </w:rPr>
        <w:br/>
      </w:r>
      <w:r w:rsidRPr="008B3F4B">
        <w:rPr>
          <w:rFonts w:asciiTheme="minorHAnsi" w:eastAsia="Times New Roman" w:hAnsiTheme="minorHAnsi" w:cstheme="minorHAnsi"/>
          <w:color w:val="3D3B39"/>
          <w:lang w:eastAsia="it-IT"/>
        </w:rPr>
        <w:lastRenderedPageBreak/>
        <w:t xml:space="preserve">- secondo diffusa giurisprudenza, l’esclusione da una gara non postula la previa comunicazione di avvio del procedimento, attenendo ad un segmento necessario di un procedimento della cui pendenza l’interessato è già necessariamente a conoscenza (in tal senso, T.A.R. Puglia, Bari, 8 marzo 2018, n. 298); </w:t>
      </w:r>
      <w:r w:rsidRPr="008B3F4B">
        <w:rPr>
          <w:rFonts w:asciiTheme="minorHAnsi" w:eastAsia="Times New Roman" w:hAnsiTheme="minorHAnsi" w:cstheme="minorHAnsi"/>
          <w:color w:val="3D3B39"/>
          <w:lang w:eastAsia="it-IT"/>
        </w:rPr>
        <w:br/>
        <w:t>- nel caso di specie, si tratta di un provvedimento di esclusione da una gara e non di un provvedimento in autotutela, quindi è erronea la censura relativa alla violazione dell’art. 21 </w:t>
      </w:r>
      <w:proofErr w:type="spellStart"/>
      <w:r w:rsidRPr="008B3F4B">
        <w:rPr>
          <w:rFonts w:asciiTheme="minorHAnsi" w:eastAsia="Times New Roman" w:hAnsiTheme="minorHAnsi" w:cstheme="minorHAnsi"/>
          <w:i/>
          <w:iCs/>
          <w:color w:val="3D3B39"/>
          <w:lang w:eastAsia="it-IT"/>
        </w:rPr>
        <w:t>nonies</w:t>
      </w:r>
      <w:proofErr w:type="spellEnd"/>
      <w:r w:rsidRPr="008B3F4B">
        <w:rPr>
          <w:rFonts w:asciiTheme="minorHAnsi" w:eastAsia="Times New Roman" w:hAnsiTheme="minorHAnsi" w:cstheme="minorHAnsi"/>
          <w:color w:val="3D3B39"/>
          <w:lang w:eastAsia="it-IT"/>
        </w:rPr>
        <w:t xml:space="preserve"> L. n. 241/1990. </w:t>
      </w:r>
      <w:r w:rsidRPr="008B3F4B">
        <w:rPr>
          <w:rFonts w:asciiTheme="minorHAnsi" w:eastAsia="Times New Roman" w:hAnsiTheme="minorHAnsi" w:cstheme="minorHAnsi"/>
          <w:color w:val="3D3B39"/>
          <w:lang w:eastAsia="it-IT"/>
        </w:rPr>
        <w:br/>
        <w:t xml:space="preserve">2) Col secondo motivo di ricorso, si deducono: violazione e/o falsa applicazione degli artt. 80, 79, 93, D. </w:t>
      </w:r>
      <w:proofErr w:type="spellStart"/>
      <w:r w:rsidRPr="008B3F4B">
        <w:rPr>
          <w:rFonts w:asciiTheme="minorHAnsi" w:eastAsia="Times New Roman" w:hAnsiTheme="minorHAnsi" w:cstheme="minorHAnsi"/>
          <w:color w:val="3D3B39"/>
          <w:lang w:eastAsia="it-IT"/>
        </w:rPr>
        <w:t>Lgs</w:t>
      </w:r>
      <w:proofErr w:type="spellEnd"/>
      <w:r w:rsidRPr="008B3F4B">
        <w:rPr>
          <w:rFonts w:asciiTheme="minorHAnsi" w:eastAsia="Times New Roman" w:hAnsiTheme="minorHAnsi" w:cstheme="minorHAnsi"/>
          <w:color w:val="3D3B39"/>
          <w:lang w:eastAsia="it-IT"/>
        </w:rPr>
        <w:t xml:space="preserve">. n. 50/2016, degli artt. 45, 46 e 76 D.P.R. n. 445/2000, degli artt. 7, 1, 3 L. n. 241/1990, degli artt. 97 e 41 </w:t>
      </w:r>
      <w:proofErr w:type="spellStart"/>
      <w:r w:rsidRPr="008B3F4B">
        <w:rPr>
          <w:rFonts w:asciiTheme="minorHAnsi" w:eastAsia="Times New Roman" w:hAnsiTheme="minorHAnsi" w:cstheme="minorHAnsi"/>
          <w:color w:val="3D3B39"/>
          <w:lang w:eastAsia="it-IT"/>
        </w:rPr>
        <w:t>Cost</w:t>
      </w:r>
      <w:proofErr w:type="spellEnd"/>
      <w:r w:rsidRPr="008B3F4B">
        <w:rPr>
          <w:rFonts w:asciiTheme="minorHAnsi" w:eastAsia="Times New Roman" w:hAnsiTheme="minorHAnsi" w:cstheme="minorHAnsi"/>
          <w:color w:val="3D3B39"/>
          <w:lang w:eastAsia="it-IT"/>
        </w:rPr>
        <w:t xml:space="preserve">.; eccesso di potere sotto diversi profili, perplessità, contraddittorietà, illogicità, irragionevolezza, sviamento, ingiustizia manifesta, carenza di istruttoria, motivazione incongrua, insufficiente e/o contraddittoria; violazione delle norme sul giusto procedimento. </w:t>
      </w:r>
      <w:r w:rsidRPr="008B3F4B">
        <w:rPr>
          <w:rFonts w:asciiTheme="minorHAnsi" w:eastAsia="Times New Roman" w:hAnsiTheme="minorHAnsi" w:cstheme="minorHAnsi"/>
          <w:color w:val="3D3B39"/>
          <w:lang w:eastAsia="it-IT"/>
        </w:rPr>
        <w:br/>
        <w:t>Con tale motivo, parte ricorrente evidenzia che, ai sensi degli artt. 1.1 del Disciplinare di gara e 18 del Capitolato Tecnico, è in facoltà – e solo in facoltà – del concorrente effettuare i sopralluoghi nei locali destinati all’espletamento del servizio, tanto che, in caso di mancata effettuazione del sopralluogo, l’impresa, “</w:t>
      </w:r>
      <w:r w:rsidRPr="008B3F4B">
        <w:rPr>
          <w:rFonts w:asciiTheme="minorHAnsi" w:eastAsia="Times New Roman" w:hAnsiTheme="minorHAnsi" w:cstheme="minorHAnsi"/>
          <w:i/>
          <w:iCs/>
          <w:color w:val="3D3B39"/>
          <w:lang w:eastAsia="it-IT"/>
        </w:rPr>
        <w:t>successivamente alla presentazione dell’offerta, non potrà avanzare obiezioni o pretese in merito alla non conoscenza di circostanze che avrebbero potuto influire sulla formulazione dell’offerta stessa</w:t>
      </w:r>
      <w:r w:rsidRPr="008B3F4B">
        <w:rPr>
          <w:rFonts w:asciiTheme="minorHAnsi" w:eastAsia="Times New Roman" w:hAnsiTheme="minorHAnsi" w:cstheme="minorHAnsi"/>
          <w:color w:val="3D3B39"/>
          <w:lang w:eastAsia="it-IT"/>
        </w:rPr>
        <w:t xml:space="preserve">” (art. 18 Capitolato). Da tanto, la ricorrente ricava che il sopralluogo sarebbe del tutto ininfluente ai fini della partecipazione alla gara. </w:t>
      </w:r>
      <w:r w:rsidRPr="008B3F4B">
        <w:rPr>
          <w:rFonts w:asciiTheme="minorHAnsi" w:eastAsia="Times New Roman" w:hAnsiTheme="minorHAnsi" w:cstheme="minorHAnsi"/>
          <w:color w:val="3D3B39"/>
          <w:lang w:eastAsia="it-IT"/>
        </w:rPr>
        <w:br/>
        <w:t>Precisa, ancora, la ricorrente che, in occasione della prima edizione della gara </w:t>
      </w:r>
      <w:r w:rsidRPr="008B3F4B">
        <w:rPr>
          <w:rFonts w:asciiTheme="minorHAnsi" w:eastAsia="Times New Roman" w:hAnsiTheme="minorHAnsi" w:cstheme="minorHAnsi"/>
          <w:i/>
          <w:iCs/>
          <w:color w:val="3D3B39"/>
          <w:lang w:eastAsia="it-IT"/>
        </w:rPr>
        <w:t>de qua</w:t>
      </w:r>
      <w:r w:rsidRPr="008B3F4B">
        <w:rPr>
          <w:rFonts w:asciiTheme="minorHAnsi" w:eastAsia="Times New Roman" w:hAnsiTheme="minorHAnsi" w:cstheme="minorHAnsi"/>
          <w:color w:val="3D3B39"/>
          <w:lang w:eastAsia="it-IT"/>
        </w:rPr>
        <w:t> (poi annullata in autotutela, come già esposto in fatto), effettuava i predetti sopralluoghi entro i termini stabiliti dal primo bando. Sempre secondo il ricorso, a seguito dell’annullamento in autotutela della </w:t>
      </w:r>
      <w:proofErr w:type="spellStart"/>
      <w:r w:rsidRPr="008B3F4B">
        <w:rPr>
          <w:rFonts w:asciiTheme="minorHAnsi" w:eastAsia="Times New Roman" w:hAnsiTheme="minorHAnsi" w:cstheme="minorHAnsi"/>
          <w:i/>
          <w:iCs/>
          <w:color w:val="3D3B39"/>
          <w:lang w:eastAsia="it-IT"/>
        </w:rPr>
        <w:t>lex</w:t>
      </w:r>
      <w:proofErr w:type="spellEnd"/>
      <w:r w:rsidRPr="008B3F4B">
        <w:rPr>
          <w:rFonts w:asciiTheme="minorHAnsi" w:eastAsia="Times New Roman" w:hAnsiTheme="minorHAnsi" w:cstheme="minorHAnsi"/>
          <w:i/>
          <w:iCs/>
          <w:color w:val="3D3B39"/>
          <w:lang w:eastAsia="it-IT"/>
        </w:rPr>
        <w:t xml:space="preserve"> </w:t>
      </w:r>
      <w:proofErr w:type="spellStart"/>
      <w:r w:rsidRPr="008B3F4B">
        <w:rPr>
          <w:rFonts w:asciiTheme="minorHAnsi" w:eastAsia="Times New Roman" w:hAnsiTheme="minorHAnsi" w:cstheme="minorHAnsi"/>
          <w:i/>
          <w:iCs/>
          <w:color w:val="3D3B39"/>
          <w:lang w:eastAsia="it-IT"/>
        </w:rPr>
        <w:t>specialis</w:t>
      </w:r>
      <w:proofErr w:type="spellEnd"/>
      <w:r w:rsidRPr="008B3F4B">
        <w:rPr>
          <w:rFonts w:asciiTheme="minorHAnsi" w:eastAsia="Times New Roman" w:hAnsiTheme="minorHAnsi" w:cstheme="minorHAnsi"/>
          <w:color w:val="3D3B39"/>
          <w:lang w:eastAsia="it-IT"/>
        </w:rPr>
        <w:t xml:space="preserve"> e della conseguente riapertura dei termini, il legale rappresentante della società ricorrente – società che annovera tra i 30 e i 40 dipendenti – invitava i propri addetti a procedere nuovamente ai già effettuati sopralluoghi e, ritenendo che tale adempimento fosse stato effettivamente posto in essere, provvedeva, a propria insaputa, al deposito, in gara, della medesima documentazione, recante, tuttavia, i verbali redatti in occasione del primo bando ma con la data alterata, cioè con una data diversa e successiva a quella del nuovo bando. </w:t>
      </w:r>
      <w:r w:rsidRPr="008B3F4B">
        <w:rPr>
          <w:rFonts w:asciiTheme="minorHAnsi" w:eastAsia="Times New Roman" w:hAnsiTheme="minorHAnsi" w:cstheme="minorHAnsi"/>
          <w:color w:val="3D3B39"/>
          <w:lang w:eastAsia="it-IT"/>
        </w:rPr>
        <w:br/>
        <w:t xml:space="preserve">Ciò precisato, la ricorrente ritiene illegittimo il provvedimento di esclusione perché: </w:t>
      </w:r>
      <w:r w:rsidRPr="008B3F4B">
        <w:rPr>
          <w:rFonts w:asciiTheme="minorHAnsi" w:eastAsia="Times New Roman" w:hAnsiTheme="minorHAnsi" w:cstheme="minorHAnsi"/>
          <w:color w:val="3D3B39"/>
          <w:lang w:eastAsia="it-IT"/>
        </w:rPr>
        <w:br/>
        <w:t xml:space="preserve">- l’ASL avrebbe escluso la ricorrente, ai sensi dell’art. 80, comma 5, </w:t>
      </w:r>
      <w:proofErr w:type="spellStart"/>
      <w:r w:rsidRPr="008B3F4B">
        <w:rPr>
          <w:rFonts w:asciiTheme="minorHAnsi" w:eastAsia="Times New Roman" w:hAnsiTheme="minorHAnsi" w:cstheme="minorHAnsi"/>
          <w:color w:val="3D3B39"/>
          <w:lang w:eastAsia="it-IT"/>
        </w:rPr>
        <w:t>lett</w:t>
      </w:r>
      <w:proofErr w:type="spellEnd"/>
      <w:r w:rsidRPr="008B3F4B">
        <w:rPr>
          <w:rFonts w:asciiTheme="minorHAnsi" w:eastAsia="Times New Roman" w:hAnsiTheme="minorHAnsi" w:cstheme="minorHAnsi"/>
          <w:color w:val="3D3B39"/>
          <w:lang w:eastAsia="it-IT"/>
        </w:rPr>
        <w:t>. f-</w:t>
      </w:r>
      <w:r w:rsidRPr="008B3F4B">
        <w:rPr>
          <w:rFonts w:asciiTheme="minorHAnsi" w:eastAsia="Times New Roman" w:hAnsiTheme="minorHAnsi" w:cstheme="minorHAnsi"/>
          <w:i/>
          <w:iCs/>
          <w:color w:val="3D3B39"/>
          <w:lang w:eastAsia="it-IT"/>
        </w:rPr>
        <w:t>bis</w:t>
      </w:r>
      <w:r w:rsidRPr="008B3F4B">
        <w:rPr>
          <w:rFonts w:asciiTheme="minorHAnsi" w:eastAsia="Times New Roman" w:hAnsiTheme="minorHAnsi" w:cstheme="minorHAnsi"/>
          <w:color w:val="3D3B39"/>
          <w:lang w:eastAsia="it-IT"/>
        </w:rPr>
        <w:t xml:space="preserve">), D. </w:t>
      </w:r>
      <w:proofErr w:type="spellStart"/>
      <w:r w:rsidRPr="008B3F4B">
        <w:rPr>
          <w:rFonts w:asciiTheme="minorHAnsi" w:eastAsia="Times New Roman" w:hAnsiTheme="minorHAnsi" w:cstheme="minorHAnsi"/>
          <w:color w:val="3D3B39"/>
          <w:lang w:eastAsia="it-IT"/>
        </w:rPr>
        <w:t>Lgs</w:t>
      </w:r>
      <w:proofErr w:type="spellEnd"/>
      <w:r w:rsidRPr="008B3F4B">
        <w:rPr>
          <w:rFonts w:asciiTheme="minorHAnsi" w:eastAsia="Times New Roman" w:hAnsiTheme="minorHAnsi" w:cstheme="minorHAnsi"/>
          <w:color w:val="3D3B39"/>
          <w:lang w:eastAsia="it-IT"/>
        </w:rPr>
        <w:t xml:space="preserve">. n. 50/2016, per la interpolazione della sola data di un documento irrilevante ai fini della partecipazione alla gara (in ragione della non obbligatorietà del sopralluogo); </w:t>
      </w:r>
      <w:r w:rsidRPr="008B3F4B">
        <w:rPr>
          <w:rFonts w:asciiTheme="minorHAnsi" w:eastAsia="Times New Roman" w:hAnsiTheme="minorHAnsi" w:cstheme="minorHAnsi"/>
          <w:color w:val="3D3B39"/>
          <w:lang w:eastAsia="it-IT"/>
        </w:rPr>
        <w:br/>
        <w:t>- l’ASL non avrebbe, cioè, operato alcuna valutazione in ordine all’</w:t>
      </w:r>
      <w:proofErr w:type="spellStart"/>
      <w:r w:rsidRPr="008B3F4B">
        <w:rPr>
          <w:rFonts w:asciiTheme="minorHAnsi" w:eastAsia="Times New Roman" w:hAnsiTheme="minorHAnsi" w:cstheme="minorHAnsi"/>
          <w:color w:val="3D3B39"/>
          <w:lang w:eastAsia="it-IT"/>
        </w:rPr>
        <w:t>offensività</w:t>
      </w:r>
      <w:proofErr w:type="spellEnd"/>
      <w:r w:rsidRPr="008B3F4B">
        <w:rPr>
          <w:rFonts w:asciiTheme="minorHAnsi" w:eastAsia="Times New Roman" w:hAnsiTheme="minorHAnsi" w:cstheme="minorHAnsi"/>
          <w:color w:val="3D3B39"/>
          <w:lang w:eastAsia="it-IT"/>
        </w:rPr>
        <w:t xml:space="preserve"> della condotta della ricorrente rispetto all’utilità da conseguire; </w:t>
      </w:r>
      <w:r w:rsidRPr="008B3F4B">
        <w:rPr>
          <w:rFonts w:asciiTheme="minorHAnsi" w:eastAsia="Times New Roman" w:hAnsiTheme="minorHAnsi" w:cstheme="minorHAnsi"/>
          <w:color w:val="3D3B39"/>
          <w:lang w:eastAsia="it-IT"/>
        </w:rPr>
        <w:br/>
        <w:t>- l’erroneità dell’operato dell’ASL risulterebbe confermato dal fatto che la stessa P.A., nella successiva segnalazione all’ANAC, ha precisato che la documentazione alterata “</w:t>
      </w:r>
      <w:r w:rsidRPr="008B3F4B">
        <w:rPr>
          <w:rFonts w:asciiTheme="minorHAnsi" w:eastAsia="Times New Roman" w:hAnsiTheme="minorHAnsi" w:cstheme="minorHAnsi"/>
          <w:i/>
          <w:iCs/>
          <w:color w:val="3D3B39"/>
          <w:lang w:eastAsia="it-IT"/>
        </w:rPr>
        <w:t>è opzionale e facoltativa per la partecipazione</w:t>
      </w:r>
      <w:r w:rsidRPr="008B3F4B">
        <w:rPr>
          <w:rFonts w:asciiTheme="minorHAnsi" w:eastAsia="Times New Roman" w:hAnsiTheme="minorHAnsi" w:cstheme="minorHAnsi"/>
          <w:color w:val="3D3B39"/>
          <w:lang w:eastAsia="it-IT"/>
        </w:rPr>
        <w:t xml:space="preserve">” alla gara; </w:t>
      </w:r>
      <w:r w:rsidRPr="008B3F4B">
        <w:rPr>
          <w:rFonts w:asciiTheme="minorHAnsi" w:eastAsia="Times New Roman" w:hAnsiTheme="minorHAnsi" w:cstheme="minorHAnsi"/>
          <w:color w:val="3D3B39"/>
          <w:lang w:eastAsia="it-IT"/>
        </w:rPr>
        <w:br/>
        <w:t xml:space="preserve">- si tratterebbe, cioè, di un “falso innocuo”; </w:t>
      </w:r>
      <w:r w:rsidRPr="008B3F4B">
        <w:rPr>
          <w:rFonts w:asciiTheme="minorHAnsi" w:eastAsia="Times New Roman" w:hAnsiTheme="minorHAnsi" w:cstheme="minorHAnsi"/>
          <w:color w:val="3D3B39"/>
          <w:lang w:eastAsia="it-IT"/>
        </w:rPr>
        <w:br/>
        <w:t xml:space="preserve">- anche a prescindere dalla figura del “falso innocuo”, l’esclusione per alterazione di un documento irrilevante ai fini della partecipazione alla gara si porrebbe in contrasto con il principio della massima partecipazione alle gare pubbliche. </w:t>
      </w:r>
      <w:r w:rsidRPr="008B3F4B">
        <w:rPr>
          <w:rFonts w:asciiTheme="minorHAnsi" w:eastAsia="Times New Roman" w:hAnsiTheme="minorHAnsi" w:cstheme="minorHAnsi"/>
          <w:color w:val="3D3B39"/>
          <w:lang w:eastAsia="it-IT"/>
        </w:rPr>
        <w:br/>
        <w:t>Aggiunge la ricorrente che, comunque, il sopralluogo è stato effettivamente svolto, sia pure in occasione della prima edizione della gara </w:t>
      </w:r>
      <w:r w:rsidRPr="008B3F4B">
        <w:rPr>
          <w:rFonts w:asciiTheme="minorHAnsi" w:eastAsia="Times New Roman" w:hAnsiTheme="minorHAnsi" w:cstheme="minorHAnsi"/>
          <w:i/>
          <w:iCs/>
          <w:color w:val="3D3B39"/>
          <w:lang w:eastAsia="it-IT"/>
        </w:rPr>
        <w:t>de qua</w:t>
      </w:r>
      <w:r w:rsidRPr="008B3F4B">
        <w:rPr>
          <w:rFonts w:asciiTheme="minorHAnsi" w:eastAsia="Times New Roman" w:hAnsiTheme="minorHAnsi" w:cstheme="minorHAnsi"/>
          <w:color w:val="3D3B39"/>
          <w:lang w:eastAsia="it-IT"/>
        </w:rPr>
        <w:t xml:space="preserve">, quindi la manipolazione della data avrebbe il solo e limitato effetto di collocare diversamente nel tempo un’attività realmente svolta. Inoltre, il caso di specie non risulterebbe annoverabile nelle ipotesi contemplate dall’art. 46 D.P.R. n. 445/2000 in relazione a ciò che è autocertificabile. </w:t>
      </w:r>
      <w:r w:rsidRPr="008B3F4B">
        <w:rPr>
          <w:rFonts w:asciiTheme="minorHAnsi" w:eastAsia="Times New Roman" w:hAnsiTheme="minorHAnsi" w:cstheme="minorHAnsi"/>
          <w:color w:val="3D3B39"/>
          <w:lang w:eastAsia="it-IT"/>
        </w:rPr>
        <w:br/>
        <w:t xml:space="preserve">Per tutte le suddette ragioni, parte ricorrente deduce ulteriormente che il provvedimento è illegittimo anche nella parte relativa all’asserita frattura del vincolo fiduciario con il concorrente, non potendosi ritenere che la fiducia sia incrinata per una condotta realizzata ad insaputa dell’amministratore della società e in relazione a un documento ultroneo ai fini della partecipazione alla gara. </w:t>
      </w:r>
      <w:r w:rsidRPr="008B3F4B">
        <w:rPr>
          <w:rFonts w:asciiTheme="minorHAnsi" w:eastAsia="Times New Roman" w:hAnsiTheme="minorHAnsi" w:cstheme="minorHAnsi"/>
          <w:color w:val="3D3B39"/>
          <w:lang w:eastAsia="it-IT"/>
        </w:rPr>
        <w:br/>
        <w:t xml:space="preserve">2.1) Il motivo è infondato. </w:t>
      </w:r>
      <w:r w:rsidRPr="008B3F4B">
        <w:rPr>
          <w:rFonts w:asciiTheme="minorHAnsi" w:eastAsia="Times New Roman" w:hAnsiTheme="minorHAnsi" w:cstheme="minorHAnsi"/>
          <w:color w:val="3D3B39"/>
          <w:lang w:eastAsia="it-IT"/>
        </w:rPr>
        <w:br/>
        <w:t xml:space="preserve">Va premesso che il fatto della alterazione della data sui verbali di sopralluogo non è contestato dalla società ricorrente. </w:t>
      </w:r>
      <w:r w:rsidRPr="008B3F4B">
        <w:rPr>
          <w:rFonts w:asciiTheme="minorHAnsi" w:eastAsia="Times New Roman" w:hAnsiTheme="minorHAnsi" w:cstheme="minorHAnsi"/>
          <w:color w:val="3D3B39"/>
          <w:lang w:eastAsia="it-IT"/>
        </w:rPr>
        <w:br/>
        <w:t xml:space="preserve">Ciò posto, osserva il Collegio che, a prescindere dal fatto che il sopralluogo fosse facoltativo per la concorrente, è indubitabile che, essendo stata alterata la data, l’impresa ricorrente ha reso una </w:t>
      </w:r>
      <w:r w:rsidRPr="008B3F4B">
        <w:rPr>
          <w:rFonts w:asciiTheme="minorHAnsi" w:eastAsia="Times New Roman" w:hAnsiTheme="minorHAnsi" w:cstheme="minorHAnsi"/>
          <w:color w:val="3D3B39"/>
          <w:lang w:eastAsia="it-IT"/>
        </w:rPr>
        <w:lastRenderedPageBreak/>
        <w:t>dichiarazione non veritiera, in quanto ha dichiarato di aver effettuato un sopralluogo che, nel giorno corrispondente alla data contraffatta, non è avvenuto. Tale condotta rappresenta, senza dubbio, una </w:t>
      </w:r>
      <w:proofErr w:type="spellStart"/>
      <w:r w:rsidRPr="008B3F4B">
        <w:rPr>
          <w:rFonts w:asciiTheme="minorHAnsi" w:eastAsia="Times New Roman" w:hAnsiTheme="minorHAnsi" w:cstheme="minorHAnsi"/>
          <w:i/>
          <w:iCs/>
          <w:color w:val="3D3B39"/>
          <w:lang w:eastAsia="it-IT"/>
        </w:rPr>
        <w:t>immutatio</w:t>
      </w:r>
      <w:proofErr w:type="spellEnd"/>
      <w:r w:rsidRPr="008B3F4B">
        <w:rPr>
          <w:rFonts w:asciiTheme="minorHAnsi" w:eastAsia="Times New Roman" w:hAnsiTheme="minorHAnsi" w:cstheme="minorHAnsi"/>
          <w:i/>
          <w:iCs/>
          <w:color w:val="3D3B39"/>
          <w:lang w:eastAsia="it-IT"/>
        </w:rPr>
        <w:t xml:space="preserve"> veri</w:t>
      </w:r>
      <w:r w:rsidRPr="008B3F4B">
        <w:rPr>
          <w:rFonts w:asciiTheme="minorHAnsi" w:eastAsia="Times New Roman" w:hAnsiTheme="minorHAnsi" w:cstheme="minorHAnsi"/>
          <w:color w:val="3D3B39"/>
          <w:lang w:eastAsia="it-IT"/>
        </w:rPr>
        <w:t xml:space="preserve">, che rientra nell’ipotesi di cui all’art. 80, comma 5, </w:t>
      </w:r>
      <w:proofErr w:type="spellStart"/>
      <w:r w:rsidRPr="008B3F4B">
        <w:rPr>
          <w:rFonts w:asciiTheme="minorHAnsi" w:eastAsia="Times New Roman" w:hAnsiTheme="minorHAnsi" w:cstheme="minorHAnsi"/>
          <w:color w:val="3D3B39"/>
          <w:lang w:eastAsia="it-IT"/>
        </w:rPr>
        <w:t>lett</w:t>
      </w:r>
      <w:proofErr w:type="spellEnd"/>
      <w:r w:rsidRPr="008B3F4B">
        <w:rPr>
          <w:rFonts w:asciiTheme="minorHAnsi" w:eastAsia="Times New Roman" w:hAnsiTheme="minorHAnsi" w:cstheme="minorHAnsi"/>
          <w:color w:val="3D3B39"/>
          <w:lang w:eastAsia="it-IT"/>
        </w:rPr>
        <w:t>. f-</w:t>
      </w:r>
      <w:r w:rsidRPr="008B3F4B">
        <w:rPr>
          <w:rFonts w:asciiTheme="minorHAnsi" w:eastAsia="Times New Roman" w:hAnsiTheme="minorHAnsi" w:cstheme="minorHAnsi"/>
          <w:i/>
          <w:iCs/>
          <w:color w:val="3D3B39"/>
          <w:lang w:eastAsia="it-IT"/>
        </w:rPr>
        <w:t>bis</w:t>
      </w:r>
      <w:r w:rsidRPr="008B3F4B">
        <w:rPr>
          <w:rFonts w:asciiTheme="minorHAnsi" w:eastAsia="Times New Roman" w:hAnsiTheme="minorHAnsi" w:cstheme="minorHAnsi"/>
          <w:color w:val="3D3B39"/>
          <w:lang w:eastAsia="it-IT"/>
        </w:rPr>
        <w:t xml:space="preserve">), D. </w:t>
      </w:r>
      <w:proofErr w:type="spellStart"/>
      <w:r w:rsidRPr="008B3F4B">
        <w:rPr>
          <w:rFonts w:asciiTheme="minorHAnsi" w:eastAsia="Times New Roman" w:hAnsiTheme="minorHAnsi" w:cstheme="minorHAnsi"/>
          <w:color w:val="3D3B39"/>
          <w:lang w:eastAsia="it-IT"/>
        </w:rPr>
        <w:t>Lgs</w:t>
      </w:r>
      <w:proofErr w:type="spellEnd"/>
      <w:r w:rsidRPr="008B3F4B">
        <w:rPr>
          <w:rFonts w:asciiTheme="minorHAnsi" w:eastAsia="Times New Roman" w:hAnsiTheme="minorHAnsi" w:cstheme="minorHAnsi"/>
          <w:color w:val="3D3B39"/>
          <w:lang w:eastAsia="it-IT"/>
        </w:rPr>
        <w:t>. n. 50/2016 e dalla quale “</w:t>
      </w:r>
      <w:r w:rsidRPr="008B3F4B">
        <w:rPr>
          <w:rFonts w:asciiTheme="minorHAnsi" w:eastAsia="Times New Roman" w:hAnsiTheme="minorHAnsi" w:cstheme="minorHAnsi"/>
          <w:i/>
          <w:iCs/>
          <w:color w:val="3D3B39"/>
          <w:lang w:eastAsia="it-IT"/>
        </w:rPr>
        <w:t>consegue l’automatica esclusione dalla procedura di gara poiché depone in maniera inequivocabile nel senso dell’inaffidabilità e della non integrità dell’operatore economico</w:t>
      </w:r>
      <w:r w:rsidRPr="008B3F4B">
        <w:rPr>
          <w:rFonts w:asciiTheme="minorHAnsi" w:eastAsia="Times New Roman" w:hAnsiTheme="minorHAnsi" w:cstheme="minorHAnsi"/>
          <w:color w:val="3D3B39"/>
          <w:lang w:eastAsia="it-IT"/>
        </w:rPr>
        <w:t>” (</w:t>
      </w:r>
      <w:proofErr w:type="spellStart"/>
      <w:r w:rsidRPr="008B3F4B">
        <w:rPr>
          <w:rFonts w:asciiTheme="minorHAnsi" w:eastAsia="Times New Roman" w:hAnsiTheme="minorHAnsi" w:cstheme="minorHAnsi"/>
          <w:color w:val="3D3B39"/>
          <w:lang w:eastAsia="it-IT"/>
        </w:rPr>
        <w:t>C.d.S</w:t>
      </w:r>
      <w:proofErr w:type="spellEnd"/>
      <w:r w:rsidRPr="008B3F4B">
        <w:rPr>
          <w:rFonts w:asciiTheme="minorHAnsi" w:eastAsia="Times New Roman" w:hAnsiTheme="minorHAnsi" w:cstheme="minorHAnsi"/>
          <w:color w:val="3D3B39"/>
          <w:lang w:eastAsia="it-IT"/>
        </w:rPr>
        <w:t xml:space="preserve">., 12 aprile 2019, n. 2407). </w:t>
      </w:r>
      <w:r w:rsidRPr="008B3F4B">
        <w:rPr>
          <w:rFonts w:asciiTheme="minorHAnsi" w:eastAsia="Times New Roman" w:hAnsiTheme="minorHAnsi" w:cstheme="minorHAnsi"/>
          <w:color w:val="3D3B39"/>
          <w:lang w:eastAsia="it-IT"/>
        </w:rPr>
        <w:br/>
        <w:t xml:space="preserve">Né può rilevare, al riguardo, la circostanza che il sopralluogo fosse facoltativo, in quanto il fatto di inserire in gara un documento relativo a un adempimento facoltativo comportava comunque che la concorrente si onerasse della previa verifica della correttezza di quanto dalla medesima dichiarato. </w:t>
      </w:r>
      <w:r w:rsidRPr="008B3F4B">
        <w:rPr>
          <w:rFonts w:asciiTheme="minorHAnsi" w:eastAsia="Times New Roman" w:hAnsiTheme="minorHAnsi" w:cstheme="minorHAnsi"/>
          <w:color w:val="3D3B39"/>
          <w:lang w:eastAsia="it-IT"/>
        </w:rPr>
        <w:br/>
        <w:t>Nemmeno possono rilevare, sotto il profilo della legittimità dell’esclusione, eventuali stati soggettivi che avrebbero accompagnato la condotta posta in essere, rilevando questi ultimi, semmai, nel distinto procedimento per l’iscrizione nel casellario informatico, </w:t>
      </w:r>
      <w:r w:rsidRPr="008B3F4B">
        <w:rPr>
          <w:rFonts w:asciiTheme="minorHAnsi" w:eastAsia="Times New Roman" w:hAnsiTheme="minorHAnsi" w:cstheme="minorHAnsi"/>
          <w:i/>
          <w:iCs/>
          <w:color w:val="3D3B39"/>
          <w:lang w:eastAsia="it-IT"/>
        </w:rPr>
        <w:t>ex</w:t>
      </w:r>
      <w:r w:rsidRPr="008B3F4B">
        <w:rPr>
          <w:rFonts w:asciiTheme="minorHAnsi" w:eastAsia="Times New Roman" w:hAnsiTheme="minorHAnsi" w:cstheme="minorHAnsi"/>
          <w:color w:val="3D3B39"/>
          <w:lang w:eastAsia="it-IT"/>
        </w:rPr>
        <w:t xml:space="preserve"> art. 80, comma 12, D. </w:t>
      </w:r>
      <w:proofErr w:type="spellStart"/>
      <w:r w:rsidRPr="008B3F4B">
        <w:rPr>
          <w:rFonts w:asciiTheme="minorHAnsi" w:eastAsia="Times New Roman" w:hAnsiTheme="minorHAnsi" w:cstheme="minorHAnsi"/>
          <w:color w:val="3D3B39"/>
          <w:lang w:eastAsia="it-IT"/>
        </w:rPr>
        <w:t>Lgs</w:t>
      </w:r>
      <w:proofErr w:type="spellEnd"/>
      <w:r w:rsidRPr="008B3F4B">
        <w:rPr>
          <w:rFonts w:asciiTheme="minorHAnsi" w:eastAsia="Times New Roman" w:hAnsiTheme="minorHAnsi" w:cstheme="minorHAnsi"/>
          <w:color w:val="3D3B39"/>
          <w:lang w:eastAsia="it-IT"/>
        </w:rPr>
        <w:t xml:space="preserve">. n. 50/2016. </w:t>
      </w:r>
      <w:r w:rsidRPr="008B3F4B">
        <w:rPr>
          <w:rFonts w:asciiTheme="minorHAnsi" w:eastAsia="Times New Roman" w:hAnsiTheme="minorHAnsi" w:cstheme="minorHAnsi"/>
          <w:color w:val="3D3B39"/>
          <w:lang w:eastAsia="it-IT"/>
        </w:rPr>
        <w:br/>
        <w:t xml:space="preserve">3) Col terzo motivo di ricorso, si denunciano: violazione e/o falsa applicazione degli artt. 80, 79, 93, D. </w:t>
      </w:r>
      <w:proofErr w:type="spellStart"/>
      <w:r w:rsidRPr="008B3F4B">
        <w:rPr>
          <w:rFonts w:asciiTheme="minorHAnsi" w:eastAsia="Times New Roman" w:hAnsiTheme="minorHAnsi" w:cstheme="minorHAnsi"/>
          <w:color w:val="3D3B39"/>
          <w:lang w:eastAsia="it-IT"/>
        </w:rPr>
        <w:t>Lgs</w:t>
      </w:r>
      <w:proofErr w:type="spellEnd"/>
      <w:r w:rsidRPr="008B3F4B">
        <w:rPr>
          <w:rFonts w:asciiTheme="minorHAnsi" w:eastAsia="Times New Roman" w:hAnsiTheme="minorHAnsi" w:cstheme="minorHAnsi"/>
          <w:color w:val="3D3B39"/>
          <w:lang w:eastAsia="it-IT"/>
        </w:rPr>
        <w:t xml:space="preserve">. n. 50/2016, degli artt. 45, 46 e 76 D.P.R. n. 445/2000, degli artt. 7, 1, 3 L. n. 241/1990, degli artt. 97 e 41 </w:t>
      </w:r>
      <w:proofErr w:type="spellStart"/>
      <w:r w:rsidRPr="008B3F4B">
        <w:rPr>
          <w:rFonts w:asciiTheme="minorHAnsi" w:eastAsia="Times New Roman" w:hAnsiTheme="minorHAnsi" w:cstheme="minorHAnsi"/>
          <w:color w:val="3D3B39"/>
          <w:lang w:eastAsia="it-IT"/>
        </w:rPr>
        <w:t>Cost</w:t>
      </w:r>
      <w:proofErr w:type="spellEnd"/>
      <w:r w:rsidRPr="008B3F4B">
        <w:rPr>
          <w:rFonts w:asciiTheme="minorHAnsi" w:eastAsia="Times New Roman" w:hAnsiTheme="minorHAnsi" w:cstheme="minorHAnsi"/>
          <w:color w:val="3D3B39"/>
          <w:lang w:eastAsia="it-IT"/>
        </w:rPr>
        <w:t xml:space="preserve">.; eccesso di potere sotto diversi profili, perplessità, contraddittorietà, illogicità, irragionevolezza, sviamento, ingiustizia manifesta, carenza di istruttoria, motivazione incongrua, insufficiente e/o contraddittoria; violazione delle norme sul giusto procedimento. </w:t>
      </w:r>
      <w:r w:rsidRPr="008B3F4B">
        <w:rPr>
          <w:rFonts w:asciiTheme="minorHAnsi" w:eastAsia="Times New Roman" w:hAnsiTheme="minorHAnsi" w:cstheme="minorHAnsi"/>
          <w:color w:val="3D3B39"/>
          <w:lang w:eastAsia="it-IT"/>
        </w:rPr>
        <w:br/>
        <w:t xml:space="preserve">Con tale motivo, la società ricorrente sostiene l’illegittimità del provvedimento nella parte in cui dispone l’escussione della cauzione provvisoria. Posto che, al riguardo, sussiste la giurisdizione del G.A., tale capo del provvedimento sarebbe illegittimo, oltre che per derivazione dai motivi di censura sin qui illustrati, per violazione degli artt. 93, comma 6, e 80, comma 12, D. </w:t>
      </w:r>
      <w:proofErr w:type="spellStart"/>
      <w:r w:rsidRPr="008B3F4B">
        <w:rPr>
          <w:rFonts w:asciiTheme="minorHAnsi" w:eastAsia="Times New Roman" w:hAnsiTheme="minorHAnsi" w:cstheme="minorHAnsi"/>
          <w:color w:val="3D3B39"/>
          <w:lang w:eastAsia="it-IT"/>
        </w:rPr>
        <w:t>Lgs</w:t>
      </w:r>
      <w:proofErr w:type="spellEnd"/>
      <w:r w:rsidRPr="008B3F4B">
        <w:rPr>
          <w:rFonts w:asciiTheme="minorHAnsi" w:eastAsia="Times New Roman" w:hAnsiTheme="minorHAnsi" w:cstheme="minorHAnsi"/>
          <w:color w:val="3D3B39"/>
          <w:lang w:eastAsia="it-IT"/>
        </w:rPr>
        <w:t xml:space="preserve">. n. 50/2016. </w:t>
      </w:r>
      <w:r w:rsidRPr="008B3F4B">
        <w:rPr>
          <w:rFonts w:asciiTheme="minorHAnsi" w:eastAsia="Times New Roman" w:hAnsiTheme="minorHAnsi" w:cstheme="minorHAnsi"/>
          <w:color w:val="3D3B39"/>
          <w:lang w:eastAsia="it-IT"/>
        </w:rPr>
        <w:br/>
        <w:t xml:space="preserve">Infatti, in base all’art. 93 comma 6, cit. – che prevede che la garanzia copre la mancata sottoscrizione del contratto dopo l’aggiudicazione e per ogni fatto riconducibile all’affidatario –, la ricorrente ritiene che l’escussione della garanzia si collochi solo dopo il momento dell’aggiudicazione e prima della stipula del contratto, non operando, viceversa, quando l’aggiudicazione non sia ancora intervenuta (com’è nel caso di specie). </w:t>
      </w:r>
      <w:r w:rsidRPr="008B3F4B">
        <w:rPr>
          <w:rFonts w:asciiTheme="minorHAnsi" w:eastAsia="Times New Roman" w:hAnsiTheme="minorHAnsi" w:cstheme="minorHAnsi"/>
          <w:color w:val="3D3B39"/>
          <w:lang w:eastAsia="it-IT"/>
        </w:rPr>
        <w:br/>
        <w:t xml:space="preserve">Inoltre, ai sensi dell’art. 80, comma 12, cit., in caso di presentazione di falsa dichiarazione o documentazione, opererebbe, secondo la ricorrente, solo la segnalazione all’ANAC. </w:t>
      </w:r>
      <w:r w:rsidRPr="008B3F4B">
        <w:rPr>
          <w:rFonts w:asciiTheme="minorHAnsi" w:eastAsia="Times New Roman" w:hAnsiTheme="minorHAnsi" w:cstheme="minorHAnsi"/>
          <w:color w:val="3D3B39"/>
          <w:lang w:eastAsia="it-IT"/>
        </w:rPr>
        <w:br/>
        <w:t xml:space="preserve">Nella prospettazione della ricorrente, quindi, il Legislatore avrebbe previsto, per un caso come quello di specie, solo le due seguenti sanzioni: </w:t>
      </w:r>
      <w:r w:rsidRPr="008B3F4B">
        <w:rPr>
          <w:rFonts w:asciiTheme="minorHAnsi" w:eastAsia="Times New Roman" w:hAnsiTheme="minorHAnsi" w:cstheme="minorHAnsi"/>
          <w:color w:val="3D3B39"/>
          <w:lang w:eastAsia="it-IT"/>
        </w:rPr>
        <w:br/>
        <w:t xml:space="preserve">- l’esclusione del concorrente dalla gara; </w:t>
      </w:r>
      <w:r w:rsidRPr="008B3F4B">
        <w:rPr>
          <w:rFonts w:asciiTheme="minorHAnsi" w:eastAsia="Times New Roman" w:hAnsiTheme="minorHAnsi" w:cstheme="minorHAnsi"/>
          <w:color w:val="3D3B39"/>
          <w:lang w:eastAsia="it-IT"/>
        </w:rPr>
        <w:br/>
        <w:t xml:space="preserve">- la segnalazione all’ANAC ai fini dell’eventuale iscrizione nel casellario informatico. </w:t>
      </w:r>
      <w:r w:rsidRPr="008B3F4B">
        <w:rPr>
          <w:rFonts w:asciiTheme="minorHAnsi" w:eastAsia="Times New Roman" w:hAnsiTheme="minorHAnsi" w:cstheme="minorHAnsi"/>
          <w:color w:val="3D3B39"/>
          <w:lang w:eastAsia="it-IT"/>
        </w:rPr>
        <w:br/>
        <w:t>Tanto si ricaverebbe, </w:t>
      </w:r>
      <w:r w:rsidRPr="008B3F4B">
        <w:rPr>
          <w:rFonts w:asciiTheme="minorHAnsi" w:eastAsia="Times New Roman" w:hAnsiTheme="minorHAnsi" w:cstheme="minorHAnsi"/>
          <w:i/>
          <w:iCs/>
          <w:color w:val="3D3B39"/>
          <w:lang w:eastAsia="it-IT"/>
        </w:rPr>
        <w:t>a contrario</w:t>
      </w:r>
      <w:r w:rsidRPr="008B3F4B">
        <w:rPr>
          <w:rFonts w:asciiTheme="minorHAnsi" w:eastAsia="Times New Roman" w:hAnsiTheme="minorHAnsi" w:cstheme="minorHAnsi"/>
          <w:color w:val="3D3B39"/>
          <w:lang w:eastAsia="it-IT"/>
        </w:rPr>
        <w:t xml:space="preserve">, dall’art. 89, comma 1, D. </w:t>
      </w:r>
      <w:proofErr w:type="spellStart"/>
      <w:r w:rsidRPr="008B3F4B">
        <w:rPr>
          <w:rFonts w:asciiTheme="minorHAnsi" w:eastAsia="Times New Roman" w:hAnsiTheme="minorHAnsi" w:cstheme="minorHAnsi"/>
          <w:color w:val="3D3B39"/>
          <w:lang w:eastAsia="it-IT"/>
        </w:rPr>
        <w:t>Lgs</w:t>
      </w:r>
      <w:proofErr w:type="spellEnd"/>
      <w:r w:rsidRPr="008B3F4B">
        <w:rPr>
          <w:rFonts w:asciiTheme="minorHAnsi" w:eastAsia="Times New Roman" w:hAnsiTheme="minorHAnsi" w:cstheme="minorHAnsi"/>
          <w:color w:val="3D3B39"/>
          <w:lang w:eastAsia="it-IT"/>
        </w:rPr>
        <w:t xml:space="preserve">. n. 50/2016, che, nel disciplinare l’avvalimento e nel caso di dichiarazioni mendaci, aggiunge l’escussione della garanzia all’esclusione e all’applicazione dell’art. 80, comma 12, cit. </w:t>
      </w:r>
      <w:r w:rsidRPr="008B3F4B">
        <w:rPr>
          <w:rFonts w:asciiTheme="minorHAnsi" w:eastAsia="Times New Roman" w:hAnsiTheme="minorHAnsi" w:cstheme="minorHAnsi"/>
          <w:color w:val="3D3B39"/>
          <w:lang w:eastAsia="it-IT"/>
        </w:rPr>
        <w:br/>
        <w:t xml:space="preserve">3.1) Il motivo è fondato, alla luce di quanto di seguito si osserva. </w:t>
      </w:r>
      <w:r w:rsidRPr="008B3F4B">
        <w:rPr>
          <w:rFonts w:asciiTheme="minorHAnsi" w:eastAsia="Times New Roman" w:hAnsiTheme="minorHAnsi" w:cstheme="minorHAnsi"/>
          <w:color w:val="3D3B39"/>
          <w:lang w:eastAsia="it-IT"/>
        </w:rPr>
        <w:br/>
        <w:t xml:space="preserve">Come fatto rilevare dalla difesa della ricorrente, in relazione all’art. 93, comma 6, D. </w:t>
      </w:r>
      <w:proofErr w:type="spellStart"/>
      <w:r w:rsidRPr="008B3F4B">
        <w:rPr>
          <w:rFonts w:asciiTheme="minorHAnsi" w:eastAsia="Times New Roman" w:hAnsiTheme="minorHAnsi" w:cstheme="minorHAnsi"/>
          <w:color w:val="3D3B39"/>
          <w:lang w:eastAsia="it-IT"/>
        </w:rPr>
        <w:t>Lgs</w:t>
      </w:r>
      <w:proofErr w:type="spellEnd"/>
      <w:r w:rsidRPr="008B3F4B">
        <w:rPr>
          <w:rFonts w:asciiTheme="minorHAnsi" w:eastAsia="Times New Roman" w:hAnsiTheme="minorHAnsi" w:cstheme="minorHAnsi"/>
          <w:color w:val="3D3B39"/>
          <w:lang w:eastAsia="it-IT"/>
        </w:rPr>
        <w:t>. n. 50/2016 (a mente del quale “</w:t>
      </w:r>
      <w:r w:rsidRPr="008B3F4B">
        <w:rPr>
          <w:rFonts w:asciiTheme="minorHAnsi" w:eastAsia="Times New Roman" w:hAnsiTheme="minorHAnsi" w:cstheme="minorHAnsi"/>
          <w:i/>
          <w:iCs/>
          <w:color w:val="3D3B39"/>
          <w:lang w:eastAsia="it-IT"/>
        </w:rPr>
        <w:t>La garanzia copre la mancata sottoscrizione del contratto dopo l'aggiudicazione dovuta ad ogni fatto riconducibile all'affidatario (…)</w:t>
      </w:r>
      <w:r w:rsidRPr="008B3F4B">
        <w:rPr>
          <w:rFonts w:asciiTheme="minorHAnsi" w:eastAsia="Times New Roman" w:hAnsiTheme="minorHAnsi" w:cstheme="minorHAnsi"/>
          <w:color w:val="3D3B39"/>
          <w:lang w:eastAsia="it-IT"/>
        </w:rPr>
        <w:t>”), la giurisprudenza ha recentemente osservato che il predetto articolo “</w:t>
      </w:r>
      <w:r w:rsidRPr="008B3F4B">
        <w:rPr>
          <w:rFonts w:asciiTheme="minorHAnsi" w:eastAsia="Times New Roman" w:hAnsiTheme="minorHAnsi" w:cstheme="minorHAnsi"/>
          <w:i/>
          <w:iCs/>
          <w:color w:val="3D3B39"/>
          <w:lang w:eastAsia="it-IT"/>
        </w:rPr>
        <w:t xml:space="preserve">colloca l’escussione della garanzia provvisoria nella fase successiva all’aggiudicazione e prima della stipula del contratto. In quest’ottica l’art. 93 comma 6 d. </w:t>
      </w:r>
      <w:proofErr w:type="spellStart"/>
      <w:r w:rsidRPr="008B3F4B">
        <w:rPr>
          <w:rFonts w:asciiTheme="minorHAnsi" w:eastAsia="Times New Roman" w:hAnsiTheme="minorHAnsi" w:cstheme="minorHAnsi"/>
          <w:i/>
          <w:iCs/>
          <w:color w:val="3D3B39"/>
          <w:lang w:eastAsia="it-IT"/>
        </w:rPr>
        <w:t>lgs</w:t>
      </w:r>
      <w:proofErr w:type="spellEnd"/>
      <w:r w:rsidRPr="008B3F4B">
        <w:rPr>
          <w:rFonts w:asciiTheme="minorHAnsi" w:eastAsia="Times New Roman" w:hAnsiTheme="minorHAnsi" w:cstheme="minorHAnsi"/>
          <w:i/>
          <w:iCs/>
          <w:color w:val="3D3B39"/>
          <w:lang w:eastAsia="it-IT"/>
        </w:rPr>
        <w:t xml:space="preserve">. n. 50/16 deve essere letto in combinato disposto con gli artt. 36 comma 6 e 85 comma 5 e, soprattutto, 32 comma 7 d. </w:t>
      </w:r>
      <w:proofErr w:type="spellStart"/>
      <w:r w:rsidRPr="008B3F4B">
        <w:rPr>
          <w:rFonts w:asciiTheme="minorHAnsi" w:eastAsia="Times New Roman" w:hAnsiTheme="minorHAnsi" w:cstheme="minorHAnsi"/>
          <w:i/>
          <w:iCs/>
          <w:color w:val="3D3B39"/>
          <w:lang w:eastAsia="it-IT"/>
        </w:rPr>
        <w:t>lgs</w:t>
      </w:r>
      <w:proofErr w:type="spellEnd"/>
      <w:r w:rsidRPr="008B3F4B">
        <w:rPr>
          <w:rFonts w:asciiTheme="minorHAnsi" w:eastAsia="Times New Roman" w:hAnsiTheme="minorHAnsi" w:cstheme="minorHAnsi"/>
          <w:i/>
          <w:iCs/>
          <w:color w:val="3D3B39"/>
          <w:lang w:eastAsia="it-IT"/>
        </w:rPr>
        <w:t xml:space="preserve">. n. 50/16 che prevedono come obbligatoria la verifica dei requisiti del solo aggiudicatario. Questo è il motivo per cui l’art. 32 comma 7 d. </w:t>
      </w:r>
      <w:proofErr w:type="spellStart"/>
      <w:r w:rsidRPr="008B3F4B">
        <w:rPr>
          <w:rFonts w:asciiTheme="minorHAnsi" w:eastAsia="Times New Roman" w:hAnsiTheme="minorHAnsi" w:cstheme="minorHAnsi"/>
          <w:i/>
          <w:iCs/>
          <w:color w:val="3D3B39"/>
          <w:lang w:eastAsia="it-IT"/>
        </w:rPr>
        <w:t>lgs</w:t>
      </w:r>
      <w:proofErr w:type="spellEnd"/>
      <w:r w:rsidRPr="008B3F4B">
        <w:rPr>
          <w:rFonts w:asciiTheme="minorHAnsi" w:eastAsia="Times New Roman" w:hAnsiTheme="minorHAnsi" w:cstheme="minorHAnsi"/>
          <w:i/>
          <w:iCs/>
          <w:color w:val="3D3B39"/>
          <w:lang w:eastAsia="it-IT"/>
        </w:rPr>
        <w:t xml:space="preserve">. n. 50/16 condiziona l’efficacia dell’aggiudicazione, già intervenuta, al positivo riscontro dei requisiti. È, pertanto, in questa fase che, secondo il disposto dell’art. 93 comma 6 d. </w:t>
      </w:r>
      <w:proofErr w:type="spellStart"/>
      <w:r w:rsidRPr="008B3F4B">
        <w:rPr>
          <w:rFonts w:asciiTheme="minorHAnsi" w:eastAsia="Times New Roman" w:hAnsiTheme="minorHAnsi" w:cstheme="minorHAnsi"/>
          <w:i/>
          <w:iCs/>
          <w:color w:val="3D3B39"/>
          <w:lang w:eastAsia="it-IT"/>
        </w:rPr>
        <w:t>lgs</w:t>
      </w:r>
      <w:proofErr w:type="spellEnd"/>
      <w:r w:rsidRPr="008B3F4B">
        <w:rPr>
          <w:rFonts w:asciiTheme="minorHAnsi" w:eastAsia="Times New Roman" w:hAnsiTheme="minorHAnsi" w:cstheme="minorHAnsi"/>
          <w:i/>
          <w:iCs/>
          <w:color w:val="3D3B39"/>
          <w:lang w:eastAsia="it-IT"/>
        </w:rPr>
        <w:t xml:space="preserve">. n. 50/16, opera la garanzia provvisoria la quale, nella previsione legislativa, sanziona le ipotesi in cui, anche per la mancanza dei requisiti dichiarati e negativamente verificati, non sia possibile, “dopo l’aggiudicazione” (inciso espressamente previsto dall’art. 93 d. </w:t>
      </w:r>
      <w:proofErr w:type="spellStart"/>
      <w:r w:rsidRPr="008B3F4B">
        <w:rPr>
          <w:rFonts w:asciiTheme="minorHAnsi" w:eastAsia="Times New Roman" w:hAnsiTheme="minorHAnsi" w:cstheme="minorHAnsi"/>
          <w:i/>
          <w:iCs/>
          <w:color w:val="3D3B39"/>
          <w:lang w:eastAsia="it-IT"/>
        </w:rPr>
        <w:t>lgs</w:t>
      </w:r>
      <w:proofErr w:type="spellEnd"/>
      <w:r w:rsidRPr="008B3F4B">
        <w:rPr>
          <w:rFonts w:asciiTheme="minorHAnsi" w:eastAsia="Times New Roman" w:hAnsiTheme="minorHAnsi" w:cstheme="minorHAnsi"/>
          <w:i/>
          <w:iCs/>
          <w:color w:val="3D3B39"/>
          <w:lang w:eastAsia="it-IT"/>
        </w:rPr>
        <w:t xml:space="preserve">. n. 50/16 e mancante nel previgente art. 75 d. </w:t>
      </w:r>
      <w:proofErr w:type="spellStart"/>
      <w:r w:rsidRPr="008B3F4B">
        <w:rPr>
          <w:rFonts w:asciiTheme="minorHAnsi" w:eastAsia="Times New Roman" w:hAnsiTheme="minorHAnsi" w:cstheme="minorHAnsi"/>
          <w:i/>
          <w:iCs/>
          <w:color w:val="3D3B39"/>
          <w:lang w:eastAsia="it-IT"/>
        </w:rPr>
        <w:t>lgs</w:t>
      </w:r>
      <w:proofErr w:type="spellEnd"/>
      <w:r w:rsidRPr="008B3F4B">
        <w:rPr>
          <w:rFonts w:asciiTheme="minorHAnsi" w:eastAsia="Times New Roman" w:hAnsiTheme="minorHAnsi" w:cstheme="minorHAnsi"/>
          <w:i/>
          <w:iCs/>
          <w:color w:val="3D3B39"/>
          <w:lang w:eastAsia="it-IT"/>
        </w:rPr>
        <w:t xml:space="preserve">. n. 163/06), pervenire alla sottoscrizione del contratto. Ne consegue che l’art. 93 comma 6 d. </w:t>
      </w:r>
      <w:proofErr w:type="spellStart"/>
      <w:r w:rsidRPr="008B3F4B">
        <w:rPr>
          <w:rFonts w:asciiTheme="minorHAnsi" w:eastAsia="Times New Roman" w:hAnsiTheme="minorHAnsi" w:cstheme="minorHAnsi"/>
          <w:i/>
          <w:iCs/>
          <w:color w:val="3D3B39"/>
          <w:lang w:eastAsia="it-IT"/>
        </w:rPr>
        <w:t>lgs</w:t>
      </w:r>
      <w:proofErr w:type="spellEnd"/>
      <w:r w:rsidRPr="008B3F4B">
        <w:rPr>
          <w:rFonts w:asciiTheme="minorHAnsi" w:eastAsia="Times New Roman" w:hAnsiTheme="minorHAnsi" w:cstheme="minorHAnsi"/>
          <w:i/>
          <w:iCs/>
          <w:color w:val="3D3B39"/>
          <w:lang w:eastAsia="it-IT"/>
        </w:rPr>
        <w:t>. n. 50/16 non si applica alle ipotesi, quale quella in esame, in cui non è ancora intervenuta l’aggiudicazione ovvero in quelle ipotesi in cui la stazione appaltante procede discrezionalmente, nel corso della gara, alla verifica dei requisiti di uno o più concorrenti</w:t>
      </w:r>
      <w:r w:rsidRPr="008B3F4B">
        <w:rPr>
          <w:rFonts w:asciiTheme="minorHAnsi" w:eastAsia="Times New Roman" w:hAnsiTheme="minorHAnsi" w:cstheme="minorHAnsi"/>
          <w:color w:val="3D3B39"/>
          <w:lang w:eastAsia="it-IT"/>
        </w:rPr>
        <w:t xml:space="preserve">” (T.A.R. Lazio, Roma, 23 gennaio 2019, n. 900 e, nello stesso senso, T.A.R. Lazio, Roma, 4 marzo 2019, n. 2838). </w:t>
      </w:r>
      <w:r w:rsidRPr="008B3F4B">
        <w:rPr>
          <w:rFonts w:asciiTheme="minorHAnsi" w:eastAsia="Times New Roman" w:hAnsiTheme="minorHAnsi" w:cstheme="minorHAnsi"/>
          <w:color w:val="3D3B39"/>
          <w:lang w:eastAsia="it-IT"/>
        </w:rPr>
        <w:br/>
        <w:t xml:space="preserve">Nel caso di specie, quindi, considerato che si verte in una fase della procedura in cui non è ancora </w:t>
      </w:r>
      <w:r w:rsidRPr="008B3F4B">
        <w:rPr>
          <w:rFonts w:asciiTheme="minorHAnsi" w:eastAsia="Times New Roman" w:hAnsiTheme="minorHAnsi" w:cstheme="minorHAnsi"/>
          <w:color w:val="3D3B39"/>
          <w:lang w:eastAsia="it-IT"/>
        </w:rPr>
        <w:lastRenderedPageBreak/>
        <w:t xml:space="preserve">intervenuta l’aggiudicazione, l’ASL non poteva escutere la garanzia. </w:t>
      </w:r>
      <w:r w:rsidRPr="008B3F4B">
        <w:rPr>
          <w:rFonts w:asciiTheme="minorHAnsi" w:eastAsia="Times New Roman" w:hAnsiTheme="minorHAnsi" w:cstheme="minorHAnsi"/>
          <w:color w:val="3D3B39"/>
          <w:lang w:eastAsia="it-IT"/>
        </w:rPr>
        <w:br/>
        <w:t xml:space="preserve">Ne deriva che, con riferimento al lotto oggetto del presente giudizio, la Determinazione Dirigenziale dell’ASL di Taranto n. 257-2019 è illegittima nella parte in cui determina di provvedere all’escussione della garanzia e, limitatamente a tale parte, va, per l’effetto, annullata, con conseguente annullamento dei successivi atti con i quali, dando seguito a tale parte di determinazione, l’ASL di Taranto ha chiesto a OMISSIS S.p.A. l’escussione della garanzia e il pagamento delle relative somme. </w:t>
      </w:r>
      <w:r w:rsidRPr="008B3F4B">
        <w:rPr>
          <w:rFonts w:asciiTheme="minorHAnsi" w:eastAsia="Times New Roman" w:hAnsiTheme="minorHAnsi" w:cstheme="minorHAnsi"/>
          <w:color w:val="3D3B39"/>
          <w:lang w:eastAsia="it-IT"/>
        </w:rPr>
        <w:br/>
        <w:t xml:space="preserve">4) Con il quarto motivo di ricorso, si deducono: violazione e/o falsa applicazione degli artt. 80, 79, 93, D. </w:t>
      </w:r>
      <w:proofErr w:type="spellStart"/>
      <w:r w:rsidRPr="008B3F4B">
        <w:rPr>
          <w:rFonts w:asciiTheme="minorHAnsi" w:eastAsia="Times New Roman" w:hAnsiTheme="minorHAnsi" w:cstheme="minorHAnsi"/>
          <w:color w:val="3D3B39"/>
          <w:lang w:eastAsia="it-IT"/>
        </w:rPr>
        <w:t>Lgs</w:t>
      </w:r>
      <w:proofErr w:type="spellEnd"/>
      <w:r w:rsidRPr="008B3F4B">
        <w:rPr>
          <w:rFonts w:asciiTheme="minorHAnsi" w:eastAsia="Times New Roman" w:hAnsiTheme="minorHAnsi" w:cstheme="minorHAnsi"/>
          <w:color w:val="3D3B39"/>
          <w:lang w:eastAsia="it-IT"/>
        </w:rPr>
        <w:t xml:space="preserve">. n. 50/2016, degli artt. 45, 46 e 76 D.P.R. n. 445/2000, degli artt. 7, 1, 3 L. n. 241/1990, degli artt. 97 e 41 </w:t>
      </w:r>
      <w:proofErr w:type="spellStart"/>
      <w:r w:rsidRPr="008B3F4B">
        <w:rPr>
          <w:rFonts w:asciiTheme="minorHAnsi" w:eastAsia="Times New Roman" w:hAnsiTheme="minorHAnsi" w:cstheme="minorHAnsi"/>
          <w:color w:val="3D3B39"/>
          <w:lang w:eastAsia="it-IT"/>
        </w:rPr>
        <w:t>Cost</w:t>
      </w:r>
      <w:proofErr w:type="spellEnd"/>
      <w:r w:rsidRPr="008B3F4B">
        <w:rPr>
          <w:rFonts w:asciiTheme="minorHAnsi" w:eastAsia="Times New Roman" w:hAnsiTheme="minorHAnsi" w:cstheme="minorHAnsi"/>
          <w:color w:val="3D3B39"/>
          <w:lang w:eastAsia="it-IT"/>
        </w:rPr>
        <w:t xml:space="preserve">.; eccesso di potere sotto diversi profili, perplessità, contraddittorietà, illogicità, irragionevolezza, sviamento, ingiustizia manifesta, carenza di istruttoria, motivazione incongrua, insufficiente e/o contraddittoria; violazione delle norme sul giusto procedimento. </w:t>
      </w:r>
      <w:r w:rsidRPr="008B3F4B">
        <w:rPr>
          <w:rFonts w:asciiTheme="minorHAnsi" w:eastAsia="Times New Roman" w:hAnsiTheme="minorHAnsi" w:cstheme="minorHAnsi"/>
          <w:color w:val="3D3B39"/>
          <w:lang w:eastAsia="it-IT"/>
        </w:rPr>
        <w:br/>
        <w:t xml:space="preserve">Con tale motivo, parte ricorrente censura il provvedimento impugnato anche nella parte in cui dispone la segnalazione all’ANAC, sia per illegittimità derivata dai motivi precedentemente spiegati sia perché il caso di specie, riguardando un contratto attivo in ragione della previsione di un canone in favore della P.A., non ricadrebbe nell’applicazione del D. </w:t>
      </w:r>
      <w:proofErr w:type="spellStart"/>
      <w:r w:rsidRPr="008B3F4B">
        <w:rPr>
          <w:rFonts w:asciiTheme="minorHAnsi" w:eastAsia="Times New Roman" w:hAnsiTheme="minorHAnsi" w:cstheme="minorHAnsi"/>
          <w:color w:val="3D3B39"/>
          <w:lang w:eastAsia="it-IT"/>
        </w:rPr>
        <w:t>Lgs</w:t>
      </w:r>
      <w:proofErr w:type="spellEnd"/>
      <w:r w:rsidRPr="008B3F4B">
        <w:rPr>
          <w:rFonts w:asciiTheme="minorHAnsi" w:eastAsia="Times New Roman" w:hAnsiTheme="minorHAnsi" w:cstheme="minorHAnsi"/>
          <w:color w:val="3D3B39"/>
          <w:lang w:eastAsia="it-IT"/>
        </w:rPr>
        <w:t>. n. 50/2016 (</w:t>
      </w:r>
      <w:r w:rsidRPr="008B3F4B">
        <w:rPr>
          <w:rFonts w:asciiTheme="minorHAnsi" w:eastAsia="Times New Roman" w:hAnsiTheme="minorHAnsi" w:cstheme="minorHAnsi"/>
          <w:i/>
          <w:iCs/>
          <w:color w:val="3D3B39"/>
          <w:lang w:eastAsia="it-IT"/>
        </w:rPr>
        <w:t>ex</w:t>
      </w:r>
      <w:r w:rsidRPr="008B3F4B">
        <w:rPr>
          <w:rFonts w:asciiTheme="minorHAnsi" w:eastAsia="Times New Roman" w:hAnsiTheme="minorHAnsi" w:cstheme="minorHAnsi"/>
          <w:color w:val="3D3B39"/>
          <w:lang w:eastAsia="it-IT"/>
        </w:rPr>
        <w:t xml:space="preserve"> art. 4 cit. D. </w:t>
      </w:r>
      <w:proofErr w:type="spellStart"/>
      <w:r w:rsidRPr="008B3F4B">
        <w:rPr>
          <w:rFonts w:asciiTheme="minorHAnsi" w:eastAsia="Times New Roman" w:hAnsiTheme="minorHAnsi" w:cstheme="minorHAnsi"/>
          <w:color w:val="3D3B39"/>
          <w:lang w:eastAsia="it-IT"/>
        </w:rPr>
        <w:t>Lgs</w:t>
      </w:r>
      <w:proofErr w:type="spellEnd"/>
      <w:r w:rsidRPr="008B3F4B">
        <w:rPr>
          <w:rFonts w:asciiTheme="minorHAnsi" w:eastAsia="Times New Roman" w:hAnsiTheme="minorHAnsi" w:cstheme="minorHAnsi"/>
          <w:color w:val="3D3B39"/>
          <w:lang w:eastAsia="it-IT"/>
        </w:rPr>
        <w:t xml:space="preserve">.). Sempre secondo la ricorrente, non applicandosi il D. </w:t>
      </w:r>
      <w:proofErr w:type="spellStart"/>
      <w:r w:rsidRPr="008B3F4B">
        <w:rPr>
          <w:rFonts w:asciiTheme="minorHAnsi" w:eastAsia="Times New Roman" w:hAnsiTheme="minorHAnsi" w:cstheme="minorHAnsi"/>
          <w:color w:val="3D3B39"/>
          <w:lang w:eastAsia="it-IT"/>
        </w:rPr>
        <w:t>Lgs</w:t>
      </w:r>
      <w:proofErr w:type="spellEnd"/>
      <w:r w:rsidRPr="008B3F4B">
        <w:rPr>
          <w:rFonts w:asciiTheme="minorHAnsi" w:eastAsia="Times New Roman" w:hAnsiTheme="minorHAnsi" w:cstheme="minorHAnsi"/>
          <w:color w:val="3D3B39"/>
          <w:lang w:eastAsia="it-IT"/>
        </w:rPr>
        <w:t>. n. 50/2016, la </w:t>
      </w:r>
      <w:proofErr w:type="spellStart"/>
      <w:r w:rsidRPr="008B3F4B">
        <w:rPr>
          <w:rFonts w:asciiTheme="minorHAnsi" w:eastAsia="Times New Roman" w:hAnsiTheme="minorHAnsi" w:cstheme="minorHAnsi"/>
          <w:i/>
          <w:iCs/>
          <w:color w:val="3D3B39"/>
          <w:lang w:eastAsia="it-IT"/>
        </w:rPr>
        <w:t>lex</w:t>
      </w:r>
      <w:proofErr w:type="spellEnd"/>
      <w:r w:rsidRPr="008B3F4B">
        <w:rPr>
          <w:rFonts w:asciiTheme="minorHAnsi" w:eastAsia="Times New Roman" w:hAnsiTheme="minorHAnsi" w:cstheme="minorHAnsi"/>
          <w:i/>
          <w:iCs/>
          <w:color w:val="3D3B39"/>
          <w:lang w:eastAsia="it-IT"/>
        </w:rPr>
        <w:t xml:space="preserve"> </w:t>
      </w:r>
      <w:proofErr w:type="spellStart"/>
      <w:r w:rsidRPr="008B3F4B">
        <w:rPr>
          <w:rFonts w:asciiTheme="minorHAnsi" w:eastAsia="Times New Roman" w:hAnsiTheme="minorHAnsi" w:cstheme="minorHAnsi"/>
          <w:i/>
          <w:iCs/>
          <w:color w:val="3D3B39"/>
          <w:lang w:eastAsia="it-IT"/>
        </w:rPr>
        <w:t>specialis</w:t>
      </w:r>
      <w:proofErr w:type="spellEnd"/>
      <w:r w:rsidRPr="008B3F4B">
        <w:rPr>
          <w:rFonts w:asciiTheme="minorHAnsi" w:eastAsia="Times New Roman" w:hAnsiTheme="minorHAnsi" w:cstheme="minorHAnsi"/>
          <w:color w:val="3D3B39"/>
          <w:lang w:eastAsia="it-IT"/>
        </w:rPr>
        <w:t> di gara avrebbe dovuto espressamente prevedere la segnalazione all’ANAC per il caso di falsa documentazione, ma, poiché ciò non è stato previsto, la segnalazione sarebbe illegittima. Nemmeno, stando al ricorso, la segnalazione all’ANAC potrebbe giustificarsi alla luce del potere di vigilanza dell’ANAC sui contratti “esclusi”, atteso che la predetta attività di vigilanza è cosa diversa dalla segnalazione </w:t>
      </w:r>
      <w:r w:rsidRPr="008B3F4B">
        <w:rPr>
          <w:rFonts w:asciiTheme="minorHAnsi" w:eastAsia="Times New Roman" w:hAnsiTheme="minorHAnsi" w:cstheme="minorHAnsi"/>
          <w:i/>
          <w:iCs/>
          <w:color w:val="3D3B39"/>
          <w:lang w:eastAsia="it-IT"/>
        </w:rPr>
        <w:t>ex</w:t>
      </w:r>
      <w:r w:rsidRPr="008B3F4B">
        <w:rPr>
          <w:rFonts w:asciiTheme="minorHAnsi" w:eastAsia="Times New Roman" w:hAnsiTheme="minorHAnsi" w:cstheme="minorHAnsi"/>
          <w:color w:val="3D3B39"/>
          <w:lang w:eastAsia="it-IT"/>
        </w:rPr>
        <w:t xml:space="preserve"> art. 80, comma 12, D. </w:t>
      </w:r>
      <w:proofErr w:type="spellStart"/>
      <w:r w:rsidRPr="008B3F4B">
        <w:rPr>
          <w:rFonts w:asciiTheme="minorHAnsi" w:eastAsia="Times New Roman" w:hAnsiTheme="minorHAnsi" w:cstheme="minorHAnsi"/>
          <w:color w:val="3D3B39"/>
          <w:lang w:eastAsia="it-IT"/>
        </w:rPr>
        <w:t>Lgs</w:t>
      </w:r>
      <w:proofErr w:type="spellEnd"/>
      <w:r w:rsidRPr="008B3F4B">
        <w:rPr>
          <w:rFonts w:asciiTheme="minorHAnsi" w:eastAsia="Times New Roman" w:hAnsiTheme="minorHAnsi" w:cstheme="minorHAnsi"/>
          <w:color w:val="3D3B39"/>
          <w:lang w:eastAsia="it-IT"/>
        </w:rPr>
        <w:t xml:space="preserve">. n. 50/2016. </w:t>
      </w:r>
      <w:r w:rsidRPr="008B3F4B">
        <w:rPr>
          <w:rFonts w:asciiTheme="minorHAnsi" w:eastAsia="Times New Roman" w:hAnsiTheme="minorHAnsi" w:cstheme="minorHAnsi"/>
          <w:color w:val="3D3B39"/>
          <w:lang w:eastAsia="it-IT"/>
        </w:rPr>
        <w:br/>
        <w:t xml:space="preserve">4.1) Il motivo è infondato, in quanto l’art. 164 D. </w:t>
      </w:r>
      <w:proofErr w:type="spellStart"/>
      <w:r w:rsidRPr="008B3F4B">
        <w:rPr>
          <w:rFonts w:asciiTheme="minorHAnsi" w:eastAsia="Times New Roman" w:hAnsiTheme="minorHAnsi" w:cstheme="minorHAnsi"/>
          <w:color w:val="3D3B39"/>
          <w:lang w:eastAsia="it-IT"/>
        </w:rPr>
        <w:t>Lgs</w:t>
      </w:r>
      <w:proofErr w:type="spellEnd"/>
      <w:r w:rsidRPr="008B3F4B">
        <w:rPr>
          <w:rFonts w:asciiTheme="minorHAnsi" w:eastAsia="Times New Roman" w:hAnsiTheme="minorHAnsi" w:cstheme="minorHAnsi"/>
          <w:color w:val="3D3B39"/>
          <w:lang w:eastAsia="it-IT"/>
        </w:rPr>
        <w:t>. n. 50 /2016, relativo ai contratti di concessione ed espressamente richiamato dallo stesso Disciplinare di gara, stabilisce, al comma 2, che “</w:t>
      </w:r>
      <w:r w:rsidRPr="008B3F4B">
        <w:rPr>
          <w:rFonts w:asciiTheme="minorHAnsi" w:eastAsia="Times New Roman" w:hAnsiTheme="minorHAnsi" w:cstheme="minorHAnsi"/>
          <w:i/>
          <w:iCs/>
          <w:color w:val="3D3B39"/>
          <w:lang w:eastAsia="it-IT"/>
        </w:rPr>
        <w:t>Alle procedure di aggiudicazione di contratti di concessione di lavori pubblici o di servizi si applicano, per quanto compatibili, le disposizioni contenute nella parte I e nella parte II, del presente codice, relativamente ai principi generali, alle esclusioni, alle modalità e alle procedure di affidamento, alle modalità di pubblicazione e redazione dei bandi e degli avvisi, ai requisiti generali e speciali e ai motivi di esclusione (…)”.</w:t>
      </w:r>
      <w:r w:rsidRPr="008B3F4B">
        <w:rPr>
          <w:rFonts w:asciiTheme="minorHAnsi" w:eastAsia="Times New Roman" w:hAnsiTheme="minorHAnsi" w:cstheme="minorHAnsi"/>
          <w:color w:val="3D3B39"/>
          <w:lang w:eastAsia="it-IT"/>
        </w:rPr>
        <w:t xml:space="preserve"> La materia delle esclusioni è quindi regolata, anche per la selezione del concessionario, dalle disposizioni poste in generale dal </w:t>
      </w:r>
      <w:proofErr w:type="spellStart"/>
      <w:r w:rsidRPr="008B3F4B">
        <w:rPr>
          <w:rFonts w:asciiTheme="minorHAnsi" w:eastAsia="Times New Roman" w:hAnsiTheme="minorHAnsi" w:cstheme="minorHAnsi"/>
          <w:color w:val="3D3B39"/>
          <w:lang w:eastAsia="it-IT"/>
        </w:rPr>
        <w:t>D.Lgs.</w:t>
      </w:r>
      <w:proofErr w:type="spellEnd"/>
      <w:r w:rsidRPr="008B3F4B">
        <w:rPr>
          <w:rFonts w:asciiTheme="minorHAnsi" w:eastAsia="Times New Roman" w:hAnsiTheme="minorHAnsi" w:cstheme="minorHAnsi"/>
          <w:color w:val="3D3B39"/>
          <w:lang w:eastAsia="it-IT"/>
        </w:rPr>
        <w:t xml:space="preserve"> n. 50/2016 e, segnatamente, dall’art. 80, applicato dall’ASL. </w:t>
      </w:r>
      <w:r w:rsidRPr="008B3F4B">
        <w:rPr>
          <w:rFonts w:asciiTheme="minorHAnsi" w:eastAsia="Times New Roman" w:hAnsiTheme="minorHAnsi" w:cstheme="minorHAnsi"/>
          <w:color w:val="3D3B39"/>
          <w:lang w:eastAsia="it-IT"/>
        </w:rPr>
        <w:br/>
        <w:t xml:space="preserve">Conseguentemente, il provvedimento di esclusione è legittimo nella parte in cui segnala l’accaduto all’ANAC, ai sensi dell’art. 80, comma 12, cit. </w:t>
      </w:r>
      <w:r w:rsidRPr="008B3F4B">
        <w:rPr>
          <w:rFonts w:asciiTheme="minorHAnsi" w:eastAsia="Times New Roman" w:hAnsiTheme="minorHAnsi" w:cstheme="minorHAnsi"/>
          <w:color w:val="3D3B39"/>
          <w:lang w:eastAsia="it-IT"/>
        </w:rPr>
        <w:br/>
        <w:t xml:space="preserve">5) Con riferimento alla posizione dell’ANAC nella presente controversia, rileva il Collegio che, come eccepito dall’Avvocatura dello Stato, va dichiarato il difetto di legittimazione passiva dell’ANAC, la quale va quindi estromessa dal giudizio. Infatti, gli atti impugnati sono ascrivibili solamente all’ASL, mentre l’ANAC risulta solo destinataria della segnalazione ai sensi dell’art. 80, comma 12, D. </w:t>
      </w:r>
      <w:proofErr w:type="spellStart"/>
      <w:r w:rsidRPr="008B3F4B">
        <w:rPr>
          <w:rFonts w:asciiTheme="minorHAnsi" w:eastAsia="Times New Roman" w:hAnsiTheme="minorHAnsi" w:cstheme="minorHAnsi"/>
          <w:color w:val="3D3B39"/>
          <w:lang w:eastAsia="it-IT"/>
        </w:rPr>
        <w:t>Lgs</w:t>
      </w:r>
      <w:proofErr w:type="spellEnd"/>
      <w:r w:rsidRPr="008B3F4B">
        <w:rPr>
          <w:rFonts w:asciiTheme="minorHAnsi" w:eastAsia="Times New Roman" w:hAnsiTheme="minorHAnsi" w:cstheme="minorHAnsi"/>
          <w:color w:val="3D3B39"/>
          <w:lang w:eastAsia="it-IT"/>
        </w:rPr>
        <w:t xml:space="preserve">. n. 50/2016. </w:t>
      </w:r>
      <w:r w:rsidRPr="008B3F4B">
        <w:rPr>
          <w:rFonts w:asciiTheme="minorHAnsi" w:eastAsia="Times New Roman" w:hAnsiTheme="minorHAnsi" w:cstheme="minorHAnsi"/>
          <w:color w:val="3D3B39"/>
          <w:lang w:eastAsia="it-IT"/>
        </w:rPr>
        <w:br/>
        <w:t xml:space="preserve">6) In conclusione, la causa trova le seguenti soluzioni: </w:t>
      </w:r>
      <w:r w:rsidRPr="008B3F4B">
        <w:rPr>
          <w:rFonts w:asciiTheme="minorHAnsi" w:eastAsia="Times New Roman" w:hAnsiTheme="minorHAnsi" w:cstheme="minorHAnsi"/>
          <w:color w:val="3D3B39"/>
          <w:lang w:eastAsia="it-IT"/>
        </w:rPr>
        <w:br/>
        <w:t xml:space="preserve">- va dichiarato il difetto di legittimazione passiva dell’ANAC, con sua conseguente estromissione dal giudizio; </w:t>
      </w:r>
      <w:r w:rsidRPr="008B3F4B">
        <w:rPr>
          <w:rFonts w:asciiTheme="minorHAnsi" w:eastAsia="Times New Roman" w:hAnsiTheme="minorHAnsi" w:cstheme="minorHAnsi"/>
          <w:color w:val="3D3B39"/>
          <w:lang w:eastAsia="it-IT"/>
        </w:rPr>
        <w:br/>
        <w:t xml:space="preserve">- va accolto il terzo motivo di ricorso e, per l’effetto e con riferimento al lotto oggetto del presente giudizio, vanno annullate sia la Determinazione Dirigenziale dell’ASL di Taranto n. 257-2019, limitatamente alla parte in cui determina di provvedere all’escussione della garanzia, sia i conseguenti atti con cui l’ASL di Taranto ha chiesto a OMISSIS S.p.A. l’escussione della garanzia e il pagamento delle relative somme; </w:t>
      </w:r>
      <w:r w:rsidRPr="008B3F4B">
        <w:rPr>
          <w:rFonts w:asciiTheme="minorHAnsi" w:eastAsia="Times New Roman" w:hAnsiTheme="minorHAnsi" w:cstheme="minorHAnsi"/>
          <w:color w:val="3D3B39"/>
          <w:lang w:eastAsia="it-IT"/>
        </w:rPr>
        <w:br/>
        <w:t xml:space="preserve">- va respinto, per il resto, il ricorso. </w:t>
      </w:r>
      <w:r w:rsidRPr="008B3F4B">
        <w:rPr>
          <w:rFonts w:asciiTheme="minorHAnsi" w:eastAsia="Times New Roman" w:hAnsiTheme="minorHAnsi" w:cstheme="minorHAnsi"/>
          <w:color w:val="3D3B39"/>
          <w:lang w:eastAsia="it-IT"/>
        </w:rPr>
        <w:br/>
        <w:t xml:space="preserve">7) Le spese del giudizio, considerata la fattispecie nel suo complesso, possono essere compensate. </w:t>
      </w:r>
    </w:p>
    <w:p w:rsidR="008B3F4B" w:rsidRPr="00C33C1E" w:rsidRDefault="008B3F4B" w:rsidP="008B3F4B">
      <w:pPr>
        <w:spacing w:after="225"/>
        <w:outlineLvl w:val="2"/>
        <w:rPr>
          <w:rFonts w:asciiTheme="minorHAnsi" w:eastAsia="Times New Roman" w:hAnsiTheme="minorHAnsi" w:cstheme="minorHAnsi"/>
          <w:b/>
          <w:bCs/>
          <w:caps/>
          <w:color w:val="000000"/>
          <w:lang w:eastAsia="it-IT"/>
        </w:rPr>
      </w:pPr>
    </w:p>
    <w:p w:rsidR="008B3F4B" w:rsidRPr="00C33C1E" w:rsidRDefault="008B3F4B" w:rsidP="008B3F4B">
      <w:pPr>
        <w:spacing w:after="225"/>
        <w:outlineLvl w:val="2"/>
        <w:rPr>
          <w:rFonts w:asciiTheme="minorHAnsi" w:eastAsia="Times New Roman" w:hAnsiTheme="minorHAnsi" w:cstheme="minorHAnsi"/>
          <w:b/>
          <w:bCs/>
          <w:caps/>
          <w:color w:val="000000"/>
          <w:lang w:eastAsia="it-IT"/>
        </w:rPr>
      </w:pPr>
    </w:p>
    <w:p w:rsidR="008B3F4B" w:rsidRPr="00C33C1E" w:rsidRDefault="008B3F4B" w:rsidP="008B3F4B">
      <w:pPr>
        <w:spacing w:after="225"/>
        <w:outlineLvl w:val="2"/>
        <w:rPr>
          <w:rFonts w:asciiTheme="minorHAnsi" w:eastAsia="Times New Roman" w:hAnsiTheme="minorHAnsi" w:cstheme="minorHAnsi"/>
          <w:b/>
          <w:bCs/>
          <w:caps/>
          <w:color w:val="000000"/>
          <w:lang w:eastAsia="it-IT"/>
        </w:rPr>
      </w:pPr>
    </w:p>
    <w:p w:rsidR="008B3F4B" w:rsidRPr="00C33C1E" w:rsidRDefault="008B3F4B" w:rsidP="008B3F4B">
      <w:pPr>
        <w:spacing w:after="225"/>
        <w:outlineLvl w:val="2"/>
        <w:rPr>
          <w:rFonts w:asciiTheme="minorHAnsi" w:eastAsia="Times New Roman" w:hAnsiTheme="minorHAnsi" w:cstheme="minorHAnsi"/>
          <w:b/>
          <w:bCs/>
          <w:caps/>
          <w:color w:val="000000"/>
          <w:lang w:eastAsia="it-IT"/>
        </w:rPr>
      </w:pPr>
    </w:p>
    <w:p w:rsidR="008B3F4B" w:rsidRPr="00C33C1E" w:rsidRDefault="008B3F4B" w:rsidP="008B3F4B">
      <w:pPr>
        <w:spacing w:after="225"/>
        <w:outlineLvl w:val="2"/>
        <w:rPr>
          <w:rFonts w:asciiTheme="minorHAnsi" w:eastAsia="Times New Roman" w:hAnsiTheme="minorHAnsi" w:cstheme="minorHAnsi"/>
          <w:b/>
          <w:bCs/>
          <w:caps/>
          <w:color w:val="000000"/>
          <w:lang w:eastAsia="it-IT"/>
        </w:rPr>
      </w:pPr>
    </w:p>
    <w:p w:rsidR="008B3F4B" w:rsidRPr="008B3F4B" w:rsidRDefault="008B3F4B" w:rsidP="008B3F4B">
      <w:pPr>
        <w:spacing w:after="265"/>
        <w:rPr>
          <w:rFonts w:asciiTheme="minorHAnsi" w:eastAsia="Times New Roman" w:hAnsiTheme="minorHAnsi" w:cstheme="minorHAnsi"/>
          <w:color w:val="3D3B39"/>
          <w:lang w:eastAsia="it-IT"/>
        </w:rPr>
      </w:pPr>
      <w:r w:rsidRPr="008B3F4B">
        <w:rPr>
          <w:rFonts w:asciiTheme="minorHAnsi" w:eastAsia="Times New Roman" w:hAnsiTheme="minorHAnsi" w:cstheme="minorHAnsi"/>
          <w:color w:val="3D3B39"/>
          <w:lang w:eastAsia="it-IT"/>
        </w:rPr>
        <w:lastRenderedPageBreak/>
        <w:t xml:space="preserve">Pubblicato il 15/05/2019 </w:t>
      </w:r>
      <w:r w:rsidRPr="008B3F4B">
        <w:rPr>
          <w:rFonts w:asciiTheme="minorHAnsi" w:eastAsia="Times New Roman" w:hAnsiTheme="minorHAnsi" w:cstheme="minorHAnsi"/>
          <w:color w:val="3D3B39"/>
          <w:lang w:eastAsia="it-IT"/>
        </w:rPr>
        <w:br/>
      </w:r>
      <w:r w:rsidRPr="008B3F4B">
        <w:rPr>
          <w:rFonts w:asciiTheme="minorHAnsi" w:eastAsia="Times New Roman" w:hAnsiTheme="minorHAnsi" w:cstheme="minorHAnsi"/>
          <w:b/>
          <w:bCs/>
          <w:color w:val="3D3B39"/>
          <w:lang w:eastAsia="it-IT"/>
        </w:rPr>
        <w:t>N. 02584/2019 REG.PROV.COLL.</w:t>
      </w:r>
      <w:r w:rsidRPr="008B3F4B">
        <w:rPr>
          <w:rFonts w:asciiTheme="minorHAnsi" w:eastAsia="Times New Roman" w:hAnsiTheme="minorHAnsi" w:cstheme="minorHAnsi"/>
          <w:color w:val="3D3B39"/>
          <w:lang w:eastAsia="it-IT"/>
        </w:rPr>
        <w:t xml:space="preserve"> </w:t>
      </w:r>
      <w:r w:rsidRPr="008B3F4B">
        <w:rPr>
          <w:rFonts w:asciiTheme="minorHAnsi" w:eastAsia="Times New Roman" w:hAnsiTheme="minorHAnsi" w:cstheme="minorHAnsi"/>
          <w:color w:val="3D3B39"/>
          <w:lang w:eastAsia="it-IT"/>
        </w:rPr>
        <w:br/>
      </w:r>
      <w:r w:rsidRPr="008B3F4B">
        <w:rPr>
          <w:rFonts w:asciiTheme="minorHAnsi" w:eastAsia="Times New Roman" w:hAnsiTheme="minorHAnsi" w:cstheme="minorHAnsi"/>
          <w:b/>
          <w:bCs/>
          <w:color w:val="3D3B39"/>
          <w:lang w:eastAsia="it-IT"/>
        </w:rPr>
        <w:t>N. 04418/2018 REG.RIC.</w:t>
      </w:r>
      <w:r w:rsidRPr="008B3F4B">
        <w:rPr>
          <w:rFonts w:asciiTheme="minorHAnsi" w:eastAsia="Times New Roman" w:hAnsiTheme="minorHAnsi" w:cstheme="minorHAnsi"/>
          <w:color w:val="3D3B39"/>
          <w:lang w:eastAsia="it-IT"/>
        </w:rPr>
        <w:t xml:space="preserve"> </w:t>
      </w:r>
    </w:p>
    <w:p w:rsidR="008B3F4B" w:rsidRPr="008B3F4B" w:rsidRDefault="008B3F4B" w:rsidP="008B3F4B">
      <w:pPr>
        <w:spacing w:after="265"/>
        <w:jc w:val="center"/>
        <w:rPr>
          <w:rFonts w:asciiTheme="minorHAnsi" w:eastAsia="Times New Roman" w:hAnsiTheme="minorHAnsi" w:cstheme="minorHAnsi"/>
          <w:color w:val="3D3B39"/>
          <w:lang w:eastAsia="it-IT"/>
        </w:rPr>
      </w:pPr>
      <w:r w:rsidRPr="008B3F4B">
        <w:rPr>
          <w:rFonts w:asciiTheme="minorHAnsi" w:eastAsia="Times New Roman" w:hAnsiTheme="minorHAnsi" w:cstheme="minorHAnsi"/>
          <w:b/>
          <w:bCs/>
          <w:color w:val="3D3B39"/>
          <w:lang w:eastAsia="it-IT"/>
        </w:rPr>
        <w:t>REPUBBLICA ITALIANA</w:t>
      </w:r>
      <w:r w:rsidRPr="008B3F4B">
        <w:rPr>
          <w:rFonts w:asciiTheme="minorHAnsi" w:eastAsia="Times New Roman" w:hAnsiTheme="minorHAnsi" w:cstheme="minorHAnsi"/>
          <w:color w:val="3D3B39"/>
          <w:lang w:eastAsia="it-IT"/>
        </w:rPr>
        <w:t xml:space="preserve"> </w:t>
      </w:r>
      <w:r w:rsidRPr="008B3F4B">
        <w:rPr>
          <w:rFonts w:asciiTheme="minorHAnsi" w:eastAsia="Times New Roman" w:hAnsiTheme="minorHAnsi" w:cstheme="minorHAnsi"/>
          <w:color w:val="3D3B39"/>
          <w:lang w:eastAsia="it-IT"/>
        </w:rPr>
        <w:br/>
      </w:r>
      <w:r w:rsidRPr="008B3F4B">
        <w:rPr>
          <w:rFonts w:asciiTheme="minorHAnsi" w:eastAsia="Times New Roman" w:hAnsiTheme="minorHAnsi" w:cstheme="minorHAnsi"/>
          <w:b/>
          <w:bCs/>
          <w:color w:val="3D3B39"/>
          <w:lang w:eastAsia="it-IT"/>
        </w:rPr>
        <w:t>IN NOME DEL POPOLO ITALIANO</w:t>
      </w:r>
      <w:r w:rsidRPr="008B3F4B">
        <w:rPr>
          <w:rFonts w:asciiTheme="minorHAnsi" w:eastAsia="Times New Roman" w:hAnsiTheme="minorHAnsi" w:cstheme="minorHAnsi"/>
          <w:color w:val="3D3B39"/>
          <w:lang w:eastAsia="it-IT"/>
        </w:rPr>
        <w:t xml:space="preserve"> </w:t>
      </w:r>
      <w:r w:rsidRPr="008B3F4B">
        <w:rPr>
          <w:rFonts w:asciiTheme="minorHAnsi" w:eastAsia="Times New Roman" w:hAnsiTheme="minorHAnsi" w:cstheme="minorHAnsi"/>
          <w:color w:val="3D3B39"/>
          <w:lang w:eastAsia="it-IT"/>
        </w:rPr>
        <w:br/>
      </w:r>
      <w:r w:rsidRPr="008B3F4B">
        <w:rPr>
          <w:rFonts w:asciiTheme="minorHAnsi" w:eastAsia="Times New Roman" w:hAnsiTheme="minorHAnsi" w:cstheme="minorHAnsi"/>
          <w:b/>
          <w:bCs/>
          <w:color w:val="3D3B39"/>
          <w:lang w:eastAsia="it-IT"/>
        </w:rPr>
        <w:t>Il Tribunale Amministrativo Regionale della Campania</w:t>
      </w:r>
      <w:r w:rsidRPr="008B3F4B">
        <w:rPr>
          <w:rFonts w:asciiTheme="minorHAnsi" w:eastAsia="Times New Roman" w:hAnsiTheme="minorHAnsi" w:cstheme="minorHAnsi"/>
          <w:color w:val="3D3B39"/>
          <w:lang w:eastAsia="it-IT"/>
        </w:rPr>
        <w:t xml:space="preserve"> </w:t>
      </w:r>
      <w:r w:rsidRPr="008B3F4B">
        <w:rPr>
          <w:rFonts w:asciiTheme="minorHAnsi" w:eastAsia="Times New Roman" w:hAnsiTheme="minorHAnsi" w:cstheme="minorHAnsi"/>
          <w:color w:val="3D3B39"/>
          <w:lang w:eastAsia="it-IT"/>
        </w:rPr>
        <w:br/>
      </w:r>
      <w:r w:rsidRPr="008B3F4B">
        <w:rPr>
          <w:rFonts w:asciiTheme="minorHAnsi" w:eastAsia="Times New Roman" w:hAnsiTheme="minorHAnsi" w:cstheme="minorHAnsi"/>
          <w:b/>
          <w:bCs/>
          <w:color w:val="3D3B39"/>
          <w:lang w:eastAsia="it-IT"/>
        </w:rPr>
        <w:t>(Sezione Prima)</w:t>
      </w:r>
      <w:r w:rsidRPr="008B3F4B">
        <w:rPr>
          <w:rFonts w:asciiTheme="minorHAnsi" w:eastAsia="Times New Roman" w:hAnsiTheme="minorHAnsi" w:cstheme="minorHAnsi"/>
          <w:color w:val="3D3B39"/>
          <w:lang w:eastAsia="it-IT"/>
        </w:rPr>
        <w:t xml:space="preserve"> </w:t>
      </w:r>
      <w:r w:rsidRPr="008B3F4B">
        <w:rPr>
          <w:rFonts w:asciiTheme="minorHAnsi" w:eastAsia="Times New Roman" w:hAnsiTheme="minorHAnsi" w:cstheme="minorHAnsi"/>
          <w:color w:val="3D3B39"/>
          <w:lang w:eastAsia="it-IT"/>
        </w:rPr>
        <w:br/>
        <w:t>ha pronunciato la presente</w:t>
      </w:r>
    </w:p>
    <w:p w:rsidR="008B3F4B" w:rsidRPr="008B3F4B" w:rsidRDefault="008B3F4B" w:rsidP="008B3F4B">
      <w:pPr>
        <w:spacing w:after="265"/>
        <w:jc w:val="center"/>
        <w:rPr>
          <w:rFonts w:asciiTheme="minorHAnsi" w:eastAsia="Times New Roman" w:hAnsiTheme="minorHAnsi" w:cstheme="minorHAnsi"/>
          <w:color w:val="3D3B39"/>
          <w:lang w:eastAsia="it-IT"/>
        </w:rPr>
      </w:pPr>
      <w:r w:rsidRPr="008B3F4B">
        <w:rPr>
          <w:rFonts w:asciiTheme="minorHAnsi" w:eastAsia="Times New Roman" w:hAnsiTheme="minorHAnsi" w:cstheme="minorHAnsi"/>
          <w:b/>
          <w:bCs/>
          <w:color w:val="3D3B39"/>
          <w:lang w:eastAsia="it-IT"/>
        </w:rPr>
        <w:t>SENTENZA</w:t>
      </w:r>
      <w:r w:rsidRPr="008B3F4B">
        <w:rPr>
          <w:rFonts w:asciiTheme="minorHAnsi" w:eastAsia="Times New Roman" w:hAnsiTheme="minorHAnsi" w:cstheme="minorHAnsi"/>
          <w:color w:val="3D3B39"/>
          <w:lang w:eastAsia="it-IT"/>
        </w:rPr>
        <w:t xml:space="preserve"> </w:t>
      </w:r>
    </w:p>
    <w:p w:rsidR="008B3F4B" w:rsidRPr="008B3F4B" w:rsidRDefault="008B3F4B" w:rsidP="008B3F4B">
      <w:pPr>
        <w:spacing w:after="265"/>
        <w:rPr>
          <w:rFonts w:asciiTheme="minorHAnsi" w:eastAsia="Times New Roman" w:hAnsiTheme="minorHAnsi" w:cstheme="minorHAnsi"/>
          <w:color w:val="3D3B39"/>
          <w:lang w:eastAsia="it-IT"/>
        </w:rPr>
      </w:pPr>
      <w:r w:rsidRPr="008B3F4B">
        <w:rPr>
          <w:rFonts w:asciiTheme="minorHAnsi" w:eastAsia="Times New Roman" w:hAnsiTheme="minorHAnsi" w:cstheme="minorHAnsi"/>
          <w:color w:val="3D3B39"/>
          <w:lang w:eastAsia="it-IT"/>
        </w:rPr>
        <w:t>sul ricorso numero di registro generale 4418 del 2018, integrato da motivi aggiunti, proposto da </w:t>
      </w:r>
      <w:r w:rsidRPr="008B3F4B">
        <w:rPr>
          <w:rFonts w:asciiTheme="minorHAnsi" w:eastAsia="Times New Roman" w:hAnsiTheme="minorHAnsi" w:cstheme="minorHAnsi"/>
          <w:color w:val="3D3B39"/>
          <w:lang w:eastAsia="it-IT"/>
        </w:rPr>
        <w:br/>
        <w:t xml:space="preserve">OMISSIS </w:t>
      </w:r>
      <w:proofErr w:type="spellStart"/>
      <w:r w:rsidRPr="008B3F4B">
        <w:rPr>
          <w:rFonts w:asciiTheme="minorHAnsi" w:eastAsia="Times New Roman" w:hAnsiTheme="minorHAnsi" w:cstheme="minorHAnsi"/>
          <w:color w:val="3D3B39"/>
          <w:lang w:eastAsia="it-IT"/>
        </w:rPr>
        <w:t>s.p.a.</w:t>
      </w:r>
      <w:proofErr w:type="spellEnd"/>
      <w:r w:rsidRPr="008B3F4B">
        <w:rPr>
          <w:rFonts w:asciiTheme="minorHAnsi" w:eastAsia="Times New Roman" w:hAnsiTheme="minorHAnsi" w:cstheme="minorHAnsi"/>
          <w:color w:val="3D3B39"/>
          <w:lang w:eastAsia="it-IT"/>
        </w:rPr>
        <w:t xml:space="preserve">, OMISSIS s.r.l., OMISSIS s.r.l., in persona dei legali rappresentanti pro tempore, rappresentati e difesi dall'avvocato OMISSIS; </w:t>
      </w:r>
      <w:r w:rsidRPr="008B3F4B">
        <w:rPr>
          <w:rFonts w:asciiTheme="minorHAnsi" w:eastAsia="Times New Roman" w:hAnsiTheme="minorHAnsi" w:cstheme="minorHAnsi"/>
          <w:color w:val="3D3B39"/>
          <w:lang w:eastAsia="it-IT"/>
        </w:rPr>
        <w:br/>
      </w:r>
      <w:r w:rsidRPr="008B3F4B">
        <w:rPr>
          <w:rFonts w:asciiTheme="minorHAnsi" w:eastAsia="Times New Roman" w:hAnsiTheme="minorHAnsi" w:cstheme="minorHAnsi"/>
          <w:b/>
          <w:bCs/>
          <w:i/>
          <w:iCs/>
          <w:color w:val="3D3B39"/>
          <w:lang w:eastAsia="it-IT"/>
        </w:rPr>
        <w:t>contro</w:t>
      </w:r>
      <w:r w:rsidRPr="008B3F4B">
        <w:rPr>
          <w:rFonts w:asciiTheme="minorHAnsi" w:eastAsia="Times New Roman" w:hAnsiTheme="minorHAnsi" w:cstheme="minorHAnsi"/>
          <w:color w:val="3D3B39"/>
          <w:lang w:eastAsia="it-IT"/>
        </w:rPr>
        <w:t xml:space="preserve"> </w:t>
      </w:r>
      <w:r w:rsidRPr="008B3F4B">
        <w:rPr>
          <w:rFonts w:asciiTheme="minorHAnsi" w:eastAsia="Times New Roman" w:hAnsiTheme="minorHAnsi" w:cstheme="minorHAnsi"/>
          <w:color w:val="3D3B39"/>
          <w:lang w:eastAsia="it-IT"/>
        </w:rPr>
        <w:br/>
        <w:t>Regione Campania, in persona del legale rappresentante pro tempore, rappresentato e difeso dall'avvocato OMISSIS; </w:t>
      </w:r>
      <w:r w:rsidRPr="008B3F4B">
        <w:rPr>
          <w:rFonts w:asciiTheme="minorHAnsi" w:eastAsia="Times New Roman" w:hAnsiTheme="minorHAnsi" w:cstheme="minorHAnsi"/>
          <w:color w:val="3D3B39"/>
          <w:lang w:eastAsia="it-IT"/>
        </w:rPr>
        <w:br/>
        <w:t xml:space="preserve">Giunta Regionale della Campania – Ufficio Speciale Centrale Acquisti – UOD1, in persona del legale rappresentante </w:t>
      </w:r>
      <w:proofErr w:type="spellStart"/>
      <w:r w:rsidRPr="008B3F4B">
        <w:rPr>
          <w:rFonts w:asciiTheme="minorHAnsi" w:eastAsia="Times New Roman" w:hAnsiTheme="minorHAnsi" w:cstheme="minorHAnsi"/>
          <w:color w:val="3D3B39"/>
          <w:lang w:eastAsia="it-IT"/>
        </w:rPr>
        <w:t>p.t.</w:t>
      </w:r>
      <w:proofErr w:type="spellEnd"/>
      <w:r w:rsidRPr="008B3F4B">
        <w:rPr>
          <w:rFonts w:asciiTheme="minorHAnsi" w:eastAsia="Times New Roman" w:hAnsiTheme="minorHAnsi" w:cstheme="minorHAnsi"/>
          <w:color w:val="3D3B39"/>
          <w:lang w:eastAsia="it-IT"/>
        </w:rPr>
        <w:t xml:space="preserve">, non costituito in giudizio;  </w:t>
      </w:r>
      <w:r w:rsidRPr="008B3F4B">
        <w:rPr>
          <w:rFonts w:asciiTheme="minorHAnsi" w:eastAsia="Times New Roman" w:hAnsiTheme="minorHAnsi" w:cstheme="minorHAnsi"/>
          <w:color w:val="3D3B39"/>
          <w:lang w:eastAsia="it-IT"/>
        </w:rPr>
        <w:br/>
      </w:r>
      <w:r w:rsidRPr="008B3F4B">
        <w:rPr>
          <w:rFonts w:asciiTheme="minorHAnsi" w:eastAsia="Times New Roman" w:hAnsiTheme="minorHAnsi" w:cstheme="minorHAnsi"/>
          <w:b/>
          <w:bCs/>
          <w:i/>
          <w:iCs/>
          <w:color w:val="3D3B39"/>
          <w:lang w:eastAsia="it-IT"/>
        </w:rPr>
        <w:t>nei confronti</w:t>
      </w:r>
      <w:r w:rsidRPr="008B3F4B">
        <w:rPr>
          <w:rFonts w:asciiTheme="minorHAnsi" w:eastAsia="Times New Roman" w:hAnsiTheme="minorHAnsi" w:cstheme="minorHAnsi"/>
          <w:color w:val="3D3B39"/>
          <w:lang w:eastAsia="it-IT"/>
        </w:rPr>
        <w:t xml:space="preserve"> </w:t>
      </w:r>
      <w:r w:rsidRPr="008B3F4B">
        <w:rPr>
          <w:rFonts w:asciiTheme="minorHAnsi" w:eastAsia="Times New Roman" w:hAnsiTheme="minorHAnsi" w:cstheme="minorHAnsi"/>
          <w:color w:val="3D3B39"/>
          <w:lang w:eastAsia="it-IT"/>
        </w:rPr>
        <w:br/>
        <w:t xml:space="preserve">OMISSIS s.r.l., OMISSIS s.r.l., OMISSIS </w:t>
      </w:r>
      <w:proofErr w:type="spellStart"/>
      <w:r w:rsidRPr="008B3F4B">
        <w:rPr>
          <w:rFonts w:asciiTheme="minorHAnsi" w:eastAsia="Times New Roman" w:hAnsiTheme="minorHAnsi" w:cstheme="minorHAnsi"/>
          <w:color w:val="3D3B39"/>
          <w:lang w:eastAsia="it-IT"/>
        </w:rPr>
        <w:t>s.p.a.</w:t>
      </w:r>
      <w:proofErr w:type="spellEnd"/>
      <w:r w:rsidRPr="008B3F4B">
        <w:rPr>
          <w:rFonts w:asciiTheme="minorHAnsi" w:eastAsia="Times New Roman" w:hAnsiTheme="minorHAnsi" w:cstheme="minorHAnsi"/>
          <w:color w:val="3D3B39"/>
          <w:lang w:eastAsia="it-IT"/>
        </w:rPr>
        <w:t xml:space="preserve">, in persona dei legali rappresentanti pro tempore, rappresentati e difesi dall'avvocato OMISSIS; </w:t>
      </w:r>
      <w:r w:rsidRPr="008B3F4B">
        <w:rPr>
          <w:rFonts w:asciiTheme="minorHAnsi" w:eastAsia="Times New Roman" w:hAnsiTheme="minorHAnsi" w:cstheme="minorHAnsi"/>
          <w:color w:val="3D3B39"/>
          <w:lang w:eastAsia="it-IT"/>
        </w:rPr>
        <w:br/>
      </w:r>
      <w:r w:rsidRPr="008B3F4B">
        <w:rPr>
          <w:rFonts w:asciiTheme="minorHAnsi" w:eastAsia="Times New Roman" w:hAnsiTheme="minorHAnsi" w:cstheme="minorHAnsi"/>
          <w:b/>
          <w:bCs/>
          <w:i/>
          <w:iCs/>
          <w:color w:val="3D3B39"/>
          <w:lang w:eastAsia="it-IT"/>
        </w:rPr>
        <w:t>per l'annullamento</w:t>
      </w:r>
      <w:r w:rsidRPr="008B3F4B">
        <w:rPr>
          <w:rFonts w:asciiTheme="minorHAnsi" w:eastAsia="Times New Roman" w:hAnsiTheme="minorHAnsi" w:cstheme="minorHAnsi"/>
          <w:color w:val="3D3B39"/>
          <w:lang w:eastAsia="it-IT"/>
        </w:rPr>
        <w:t xml:space="preserve"> </w:t>
      </w:r>
      <w:r w:rsidRPr="008B3F4B">
        <w:rPr>
          <w:rFonts w:asciiTheme="minorHAnsi" w:eastAsia="Times New Roman" w:hAnsiTheme="minorHAnsi" w:cstheme="minorHAnsi"/>
          <w:color w:val="3D3B39"/>
          <w:lang w:eastAsia="it-IT"/>
        </w:rPr>
        <w:br/>
        <w:t xml:space="preserve">I) quanto al ricorso introduttivo: </w:t>
      </w:r>
      <w:r w:rsidRPr="008B3F4B">
        <w:rPr>
          <w:rFonts w:asciiTheme="minorHAnsi" w:eastAsia="Times New Roman" w:hAnsiTheme="minorHAnsi" w:cstheme="minorHAnsi"/>
          <w:color w:val="3D3B39"/>
          <w:lang w:eastAsia="it-IT"/>
        </w:rPr>
        <w:br/>
        <w:t xml:space="preserve">- della nota </w:t>
      </w:r>
      <w:proofErr w:type="spellStart"/>
      <w:r w:rsidRPr="008B3F4B">
        <w:rPr>
          <w:rFonts w:asciiTheme="minorHAnsi" w:eastAsia="Times New Roman" w:hAnsiTheme="minorHAnsi" w:cstheme="minorHAnsi"/>
          <w:color w:val="3D3B39"/>
          <w:lang w:eastAsia="it-IT"/>
        </w:rPr>
        <w:t>prot</w:t>
      </w:r>
      <w:proofErr w:type="spellEnd"/>
      <w:r w:rsidRPr="008B3F4B">
        <w:rPr>
          <w:rFonts w:asciiTheme="minorHAnsi" w:eastAsia="Times New Roman" w:hAnsiTheme="minorHAnsi" w:cstheme="minorHAnsi"/>
          <w:color w:val="3D3B39"/>
          <w:lang w:eastAsia="it-IT"/>
        </w:rPr>
        <w:t xml:space="preserve"> gen. 0637926 del 10/10/2018, con cui la Giunta Regionale della Campania ha comunicato a OMISSIS </w:t>
      </w:r>
      <w:proofErr w:type="spellStart"/>
      <w:r w:rsidRPr="008B3F4B">
        <w:rPr>
          <w:rFonts w:asciiTheme="minorHAnsi" w:eastAsia="Times New Roman" w:hAnsiTheme="minorHAnsi" w:cstheme="minorHAnsi"/>
          <w:color w:val="3D3B39"/>
          <w:lang w:eastAsia="it-IT"/>
        </w:rPr>
        <w:t>s.p.a.</w:t>
      </w:r>
      <w:proofErr w:type="spellEnd"/>
      <w:r w:rsidRPr="008B3F4B">
        <w:rPr>
          <w:rFonts w:asciiTheme="minorHAnsi" w:eastAsia="Times New Roman" w:hAnsiTheme="minorHAnsi" w:cstheme="minorHAnsi"/>
          <w:color w:val="3D3B39"/>
          <w:lang w:eastAsia="it-IT"/>
        </w:rPr>
        <w:t xml:space="preserve"> che, in relazione alla </w:t>
      </w:r>
      <w:r w:rsidRPr="008B3F4B">
        <w:rPr>
          <w:rFonts w:asciiTheme="minorHAnsi" w:eastAsia="Times New Roman" w:hAnsiTheme="minorHAnsi" w:cstheme="minorHAnsi"/>
          <w:i/>
          <w:iCs/>
          <w:color w:val="3D3B39"/>
          <w:lang w:eastAsia="it-IT"/>
        </w:rPr>
        <w:t>“</w:t>
      </w:r>
      <w:proofErr w:type="spellStart"/>
      <w:r w:rsidRPr="008B3F4B">
        <w:rPr>
          <w:rFonts w:asciiTheme="minorHAnsi" w:eastAsia="Times New Roman" w:hAnsiTheme="minorHAnsi" w:cstheme="minorHAnsi"/>
          <w:i/>
          <w:iCs/>
          <w:color w:val="3D3B39"/>
          <w:lang w:eastAsia="it-IT"/>
        </w:rPr>
        <w:t>proc</w:t>
      </w:r>
      <w:proofErr w:type="spellEnd"/>
      <w:r w:rsidRPr="008B3F4B">
        <w:rPr>
          <w:rFonts w:asciiTheme="minorHAnsi" w:eastAsia="Times New Roman" w:hAnsiTheme="minorHAnsi" w:cstheme="minorHAnsi"/>
          <w:i/>
          <w:iCs/>
          <w:color w:val="3D3B39"/>
          <w:lang w:eastAsia="it-IT"/>
        </w:rPr>
        <w:t xml:space="preserve"> n. 2597/A-SIA/18 – </w:t>
      </w:r>
      <w:proofErr w:type="spellStart"/>
      <w:r w:rsidRPr="008B3F4B">
        <w:rPr>
          <w:rFonts w:asciiTheme="minorHAnsi" w:eastAsia="Times New Roman" w:hAnsiTheme="minorHAnsi" w:cstheme="minorHAnsi"/>
          <w:i/>
          <w:iCs/>
          <w:color w:val="3D3B39"/>
          <w:lang w:eastAsia="it-IT"/>
        </w:rPr>
        <w:t>Proc</w:t>
      </w:r>
      <w:proofErr w:type="spellEnd"/>
      <w:r w:rsidRPr="008B3F4B">
        <w:rPr>
          <w:rFonts w:asciiTheme="minorHAnsi" w:eastAsia="Times New Roman" w:hAnsiTheme="minorHAnsi" w:cstheme="minorHAnsi"/>
          <w:i/>
          <w:iCs/>
          <w:color w:val="3D3B39"/>
          <w:lang w:eastAsia="it-IT"/>
        </w:rPr>
        <w:t xml:space="preserve"> n. 2597/A-SIA/18, procedura aperta ai sensi dell'art. 60 del D. </w:t>
      </w:r>
      <w:proofErr w:type="spellStart"/>
      <w:r w:rsidRPr="008B3F4B">
        <w:rPr>
          <w:rFonts w:asciiTheme="minorHAnsi" w:eastAsia="Times New Roman" w:hAnsiTheme="minorHAnsi" w:cstheme="minorHAnsi"/>
          <w:i/>
          <w:iCs/>
          <w:color w:val="3D3B39"/>
          <w:lang w:eastAsia="it-IT"/>
        </w:rPr>
        <w:t>Lgs</w:t>
      </w:r>
      <w:proofErr w:type="spellEnd"/>
      <w:r w:rsidRPr="008B3F4B">
        <w:rPr>
          <w:rFonts w:asciiTheme="minorHAnsi" w:eastAsia="Times New Roman" w:hAnsiTheme="minorHAnsi" w:cstheme="minorHAnsi"/>
          <w:i/>
          <w:iCs/>
          <w:color w:val="3D3B39"/>
          <w:lang w:eastAsia="it-IT"/>
        </w:rPr>
        <w:t xml:space="preserve">. n. 50/2016, a mezzo di accordo quadro triennale ai sensi dell'art. 54 co. 2 del D. </w:t>
      </w:r>
      <w:proofErr w:type="spellStart"/>
      <w:r w:rsidRPr="008B3F4B">
        <w:rPr>
          <w:rFonts w:asciiTheme="minorHAnsi" w:eastAsia="Times New Roman" w:hAnsiTheme="minorHAnsi" w:cstheme="minorHAnsi"/>
          <w:i/>
          <w:iCs/>
          <w:color w:val="3D3B39"/>
          <w:lang w:eastAsia="it-IT"/>
        </w:rPr>
        <w:t>Lgs</w:t>
      </w:r>
      <w:proofErr w:type="spellEnd"/>
      <w:r w:rsidRPr="008B3F4B">
        <w:rPr>
          <w:rFonts w:asciiTheme="minorHAnsi" w:eastAsia="Times New Roman" w:hAnsiTheme="minorHAnsi" w:cstheme="minorHAnsi"/>
          <w:i/>
          <w:iCs/>
          <w:color w:val="3D3B39"/>
          <w:lang w:eastAsia="it-IT"/>
        </w:rPr>
        <w:t xml:space="preserve">. n. 50/2016, suddiviso in tre lotti e con il criterio di aggiudicazione dell'offerta economicamente più vantaggiosa, art. 95, co. 2 D. </w:t>
      </w:r>
      <w:proofErr w:type="spellStart"/>
      <w:r w:rsidRPr="008B3F4B">
        <w:rPr>
          <w:rFonts w:asciiTheme="minorHAnsi" w:eastAsia="Times New Roman" w:hAnsiTheme="minorHAnsi" w:cstheme="minorHAnsi"/>
          <w:i/>
          <w:iCs/>
          <w:color w:val="3D3B39"/>
          <w:lang w:eastAsia="it-IT"/>
        </w:rPr>
        <w:t>Lgs</w:t>
      </w:r>
      <w:proofErr w:type="spellEnd"/>
      <w:r w:rsidRPr="008B3F4B">
        <w:rPr>
          <w:rFonts w:asciiTheme="minorHAnsi" w:eastAsia="Times New Roman" w:hAnsiTheme="minorHAnsi" w:cstheme="minorHAnsi"/>
          <w:i/>
          <w:iCs/>
          <w:color w:val="3D3B39"/>
          <w:lang w:eastAsia="it-IT"/>
        </w:rPr>
        <w:t>. n. 50/2016 per l'affidamento dei servizi di ingegneria e architettura quali studi di fattibilità tecnica ed economica e/o la progettazione definitiva e/o esecutiva per la realizzazione e/o trasformazione e/o ampliamento di impianti per il trattamento della frazione organica in Regione Campania. Lotto n. 1 CIG: 7332580C6D”</w:t>
      </w:r>
      <w:r w:rsidRPr="008B3F4B">
        <w:rPr>
          <w:rFonts w:asciiTheme="minorHAnsi" w:eastAsia="Times New Roman" w:hAnsiTheme="minorHAnsi" w:cstheme="minorHAnsi"/>
          <w:color w:val="3D3B39"/>
          <w:lang w:eastAsia="it-IT"/>
        </w:rPr>
        <w:t xml:space="preserve">, con decreto dirigenziale n. 215 del 10/10/2018 era stata disposta l'aggiudicazione definitiva in favore del costituendo </w:t>
      </w:r>
      <w:proofErr w:type="spellStart"/>
      <w:r w:rsidRPr="008B3F4B">
        <w:rPr>
          <w:rFonts w:asciiTheme="minorHAnsi" w:eastAsia="Times New Roman" w:hAnsiTheme="minorHAnsi" w:cstheme="minorHAnsi"/>
          <w:color w:val="3D3B39"/>
          <w:lang w:eastAsia="it-IT"/>
        </w:rPr>
        <w:t>r.t.i</w:t>
      </w:r>
      <w:proofErr w:type="spellEnd"/>
      <w:r w:rsidRPr="008B3F4B">
        <w:rPr>
          <w:rFonts w:asciiTheme="minorHAnsi" w:eastAsia="Times New Roman" w:hAnsiTheme="minorHAnsi" w:cstheme="minorHAnsi"/>
          <w:color w:val="3D3B39"/>
          <w:lang w:eastAsia="it-IT"/>
        </w:rPr>
        <w:t xml:space="preserve">. OMISSIS s.r.l.; </w:t>
      </w:r>
      <w:r w:rsidRPr="008B3F4B">
        <w:rPr>
          <w:rFonts w:asciiTheme="minorHAnsi" w:eastAsia="Times New Roman" w:hAnsiTheme="minorHAnsi" w:cstheme="minorHAnsi"/>
          <w:color w:val="3D3B39"/>
          <w:lang w:eastAsia="it-IT"/>
        </w:rPr>
        <w:br/>
        <w:t xml:space="preserve">- del decreto dirigenziale n. 215 del 10/10/18, con cui la Direzione Generale 6 – Ambiente, Difesa del Suolo e Ecosistema della Regione Campania, preso atto dei verbali della commissione giudicatrice e delle relative risultanze, ha aggiudicato in via definitiva, condizionando sospensivamente l'efficacia all'esito positivo della verifica, ai sensi dell'art. 32, comma 5, del </w:t>
      </w:r>
      <w:proofErr w:type="spellStart"/>
      <w:r w:rsidRPr="008B3F4B">
        <w:rPr>
          <w:rFonts w:asciiTheme="minorHAnsi" w:eastAsia="Times New Roman" w:hAnsiTheme="minorHAnsi" w:cstheme="minorHAnsi"/>
          <w:color w:val="3D3B39"/>
          <w:lang w:eastAsia="it-IT"/>
        </w:rPr>
        <w:t>D.Lgs.</w:t>
      </w:r>
      <w:proofErr w:type="spellEnd"/>
      <w:r w:rsidRPr="008B3F4B">
        <w:rPr>
          <w:rFonts w:asciiTheme="minorHAnsi" w:eastAsia="Times New Roman" w:hAnsiTheme="minorHAnsi" w:cstheme="minorHAnsi"/>
          <w:color w:val="3D3B39"/>
          <w:lang w:eastAsia="it-IT"/>
        </w:rPr>
        <w:t xml:space="preserve"> 50/16, il lotto n. 1 al costituendo </w:t>
      </w:r>
      <w:proofErr w:type="spellStart"/>
      <w:r w:rsidRPr="008B3F4B">
        <w:rPr>
          <w:rFonts w:asciiTheme="minorHAnsi" w:eastAsia="Times New Roman" w:hAnsiTheme="minorHAnsi" w:cstheme="minorHAnsi"/>
          <w:color w:val="3D3B39"/>
          <w:lang w:eastAsia="it-IT"/>
        </w:rPr>
        <w:t>r.t.i</w:t>
      </w:r>
      <w:proofErr w:type="spellEnd"/>
      <w:r w:rsidRPr="008B3F4B">
        <w:rPr>
          <w:rFonts w:asciiTheme="minorHAnsi" w:eastAsia="Times New Roman" w:hAnsiTheme="minorHAnsi" w:cstheme="minorHAnsi"/>
          <w:color w:val="3D3B39"/>
          <w:lang w:eastAsia="it-IT"/>
        </w:rPr>
        <w:t xml:space="preserve">. OMISSIS s.r.l., OMISSIS s.r.l., OMISSIS </w:t>
      </w:r>
      <w:proofErr w:type="spellStart"/>
      <w:r w:rsidRPr="008B3F4B">
        <w:rPr>
          <w:rFonts w:asciiTheme="minorHAnsi" w:eastAsia="Times New Roman" w:hAnsiTheme="minorHAnsi" w:cstheme="minorHAnsi"/>
          <w:color w:val="3D3B39"/>
          <w:lang w:eastAsia="it-IT"/>
        </w:rPr>
        <w:t>s.p.a.</w:t>
      </w:r>
      <w:proofErr w:type="spellEnd"/>
      <w:r w:rsidRPr="008B3F4B">
        <w:rPr>
          <w:rFonts w:asciiTheme="minorHAnsi" w:eastAsia="Times New Roman" w:hAnsiTheme="minorHAnsi" w:cstheme="minorHAnsi"/>
          <w:color w:val="3D3B39"/>
          <w:lang w:eastAsia="it-IT"/>
        </w:rPr>
        <w:t xml:space="preserve"> per un importo di € 725.790,00 al netto dell'Iva, avendo conseguito un punteggio complessivo di 81,908, di cui 63,750 punti per l'offerta tecnica e 18,158 per l'offerta economica; </w:t>
      </w:r>
      <w:r w:rsidRPr="008B3F4B">
        <w:rPr>
          <w:rFonts w:asciiTheme="minorHAnsi" w:eastAsia="Times New Roman" w:hAnsiTheme="minorHAnsi" w:cstheme="minorHAnsi"/>
          <w:color w:val="3D3B39"/>
          <w:lang w:eastAsia="it-IT"/>
        </w:rPr>
        <w:br/>
        <w:t xml:space="preserve">- della nota </w:t>
      </w:r>
      <w:proofErr w:type="spellStart"/>
      <w:r w:rsidRPr="008B3F4B">
        <w:rPr>
          <w:rFonts w:asciiTheme="minorHAnsi" w:eastAsia="Times New Roman" w:hAnsiTheme="minorHAnsi" w:cstheme="minorHAnsi"/>
          <w:color w:val="3D3B39"/>
          <w:lang w:eastAsia="it-IT"/>
        </w:rPr>
        <w:t>prot</w:t>
      </w:r>
      <w:proofErr w:type="spellEnd"/>
      <w:r w:rsidRPr="008B3F4B">
        <w:rPr>
          <w:rFonts w:asciiTheme="minorHAnsi" w:eastAsia="Times New Roman" w:hAnsiTheme="minorHAnsi" w:cstheme="minorHAnsi"/>
          <w:color w:val="3D3B39"/>
          <w:lang w:eastAsia="it-IT"/>
        </w:rPr>
        <w:t>. 2018.0698320 del 6/11/18 mai notificata, con cui l'Ufficio Speciale, Centrale Acquisti, procedure di finanziamento di progetti relativi ad infrastrutture, Progettazione UOD 01 Centrale Acquisti e procedure di finanziamento di progetti relativi ad infrastrutture della Giunta Regionale della Campania ha comunicato che, in relazione alla </w:t>
      </w:r>
      <w:r w:rsidRPr="008B3F4B">
        <w:rPr>
          <w:rFonts w:asciiTheme="minorHAnsi" w:eastAsia="Times New Roman" w:hAnsiTheme="minorHAnsi" w:cstheme="minorHAnsi"/>
          <w:i/>
          <w:iCs/>
          <w:color w:val="3D3B39"/>
          <w:lang w:eastAsia="it-IT"/>
        </w:rPr>
        <w:t>“</w:t>
      </w:r>
      <w:proofErr w:type="spellStart"/>
      <w:r w:rsidRPr="008B3F4B">
        <w:rPr>
          <w:rFonts w:asciiTheme="minorHAnsi" w:eastAsia="Times New Roman" w:hAnsiTheme="minorHAnsi" w:cstheme="minorHAnsi"/>
          <w:i/>
          <w:iCs/>
          <w:color w:val="3D3B39"/>
          <w:lang w:eastAsia="it-IT"/>
        </w:rPr>
        <w:t>proc</w:t>
      </w:r>
      <w:proofErr w:type="spellEnd"/>
      <w:r w:rsidRPr="008B3F4B">
        <w:rPr>
          <w:rFonts w:asciiTheme="minorHAnsi" w:eastAsia="Times New Roman" w:hAnsiTheme="minorHAnsi" w:cstheme="minorHAnsi"/>
          <w:i/>
          <w:iCs/>
          <w:color w:val="3D3B39"/>
          <w:lang w:eastAsia="it-IT"/>
        </w:rPr>
        <w:t xml:space="preserve"> n. 2597/A_SIA/18, procedura aperta ai sensi dell'art. 60 del D. </w:t>
      </w:r>
      <w:proofErr w:type="spellStart"/>
      <w:r w:rsidRPr="008B3F4B">
        <w:rPr>
          <w:rFonts w:asciiTheme="minorHAnsi" w:eastAsia="Times New Roman" w:hAnsiTheme="minorHAnsi" w:cstheme="minorHAnsi"/>
          <w:i/>
          <w:iCs/>
          <w:color w:val="3D3B39"/>
          <w:lang w:eastAsia="it-IT"/>
        </w:rPr>
        <w:t>Lgs</w:t>
      </w:r>
      <w:proofErr w:type="spellEnd"/>
      <w:r w:rsidRPr="008B3F4B">
        <w:rPr>
          <w:rFonts w:asciiTheme="minorHAnsi" w:eastAsia="Times New Roman" w:hAnsiTheme="minorHAnsi" w:cstheme="minorHAnsi"/>
          <w:i/>
          <w:iCs/>
          <w:color w:val="3D3B39"/>
          <w:lang w:eastAsia="it-IT"/>
        </w:rPr>
        <w:t xml:space="preserve">. n. 50/2016, a mezzo di accordo quadro ai sensi dell'art. 54 co. 2 del D. </w:t>
      </w:r>
      <w:proofErr w:type="spellStart"/>
      <w:r w:rsidRPr="008B3F4B">
        <w:rPr>
          <w:rFonts w:asciiTheme="minorHAnsi" w:eastAsia="Times New Roman" w:hAnsiTheme="minorHAnsi" w:cstheme="minorHAnsi"/>
          <w:i/>
          <w:iCs/>
          <w:color w:val="3D3B39"/>
          <w:lang w:eastAsia="it-IT"/>
        </w:rPr>
        <w:t>Lgs</w:t>
      </w:r>
      <w:proofErr w:type="spellEnd"/>
      <w:r w:rsidRPr="008B3F4B">
        <w:rPr>
          <w:rFonts w:asciiTheme="minorHAnsi" w:eastAsia="Times New Roman" w:hAnsiTheme="minorHAnsi" w:cstheme="minorHAnsi"/>
          <w:i/>
          <w:iCs/>
          <w:color w:val="3D3B39"/>
          <w:lang w:eastAsia="it-IT"/>
        </w:rPr>
        <w:t xml:space="preserve">. n. 50/2016, suddiviso in tre lotti e aggiudicato con il criterio dell'offerta economicamente più vantaggiosa, art. 95, co. 2 D. </w:t>
      </w:r>
      <w:proofErr w:type="spellStart"/>
      <w:r w:rsidRPr="008B3F4B">
        <w:rPr>
          <w:rFonts w:asciiTheme="minorHAnsi" w:eastAsia="Times New Roman" w:hAnsiTheme="minorHAnsi" w:cstheme="minorHAnsi"/>
          <w:i/>
          <w:iCs/>
          <w:color w:val="3D3B39"/>
          <w:lang w:eastAsia="it-IT"/>
        </w:rPr>
        <w:t>Lgs</w:t>
      </w:r>
      <w:proofErr w:type="spellEnd"/>
      <w:r w:rsidRPr="008B3F4B">
        <w:rPr>
          <w:rFonts w:asciiTheme="minorHAnsi" w:eastAsia="Times New Roman" w:hAnsiTheme="minorHAnsi" w:cstheme="minorHAnsi"/>
          <w:i/>
          <w:iCs/>
          <w:color w:val="3D3B39"/>
          <w:lang w:eastAsia="it-IT"/>
        </w:rPr>
        <w:t>. n. 50/2016 per l'affidamento dei servizi di ingegneria e architettura. Lotto n. 1 CIG:7332580C6D; lotto n. 2 CIG: 73541547DC; lotto n. 3 CIG:73326527D9”</w:t>
      </w:r>
      <w:r w:rsidRPr="008B3F4B">
        <w:rPr>
          <w:rFonts w:asciiTheme="minorHAnsi" w:eastAsia="Times New Roman" w:hAnsiTheme="minorHAnsi" w:cstheme="minorHAnsi"/>
          <w:color w:val="3D3B39"/>
          <w:lang w:eastAsia="it-IT"/>
        </w:rPr>
        <w:t xml:space="preserve">, dalle verifiche effettuate non sono emersi elementi ostativi all'aggiudicazione definitiva, con conseguente efficacia del decreto dirigenziale n. 215 del 10/10/2018 ai sensi dell'art. 32 comma 7 del </w:t>
      </w:r>
      <w:proofErr w:type="spellStart"/>
      <w:r w:rsidRPr="008B3F4B">
        <w:rPr>
          <w:rFonts w:asciiTheme="minorHAnsi" w:eastAsia="Times New Roman" w:hAnsiTheme="minorHAnsi" w:cstheme="minorHAnsi"/>
          <w:color w:val="3D3B39"/>
          <w:lang w:eastAsia="it-IT"/>
        </w:rPr>
        <w:t>D.Lgs.</w:t>
      </w:r>
      <w:proofErr w:type="spellEnd"/>
      <w:r w:rsidRPr="008B3F4B">
        <w:rPr>
          <w:rFonts w:asciiTheme="minorHAnsi" w:eastAsia="Times New Roman" w:hAnsiTheme="minorHAnsi" w:cstheme="minorHAnsi"/>
          <w:color w:val="3D3B39"/>
          <w:lang w:eastAsia="it-IT"/>
        </w:rPr>
        <w:t xml:space="preserve"> 50/2016; </w:t>
      </w:r>
      <w:r w:rsidRPr="008B3F4B">
        <w:rPr>
          <w:rFonts w:asciiTheme="minorHAnsi" w:eastAsia="Times New Roman" w:hAnsiTheme="minorHAnsi" w:cstheme="minorHAnsi"/>
          <w:color w:val="3D3B39"/>
          <w:lang w:eastAsia="it-IT"/>
        </w:rPr>
        <w:br/>
        <w:t xml:space="preserve">- dei verbali di gara n. 1 del 10 maggio 2018, n. 2 del 14 maggio 2018, n. 3 del 6 giugno 2018, n. 4 del 20 giugno 2018, n. 5 del 27 giugno 2018, n. 6 del 4 luglio 2018, n. 7 del 12 luglio 2018 e di tutto quanto in essi rilevato e/o allegato ivi incluse le schede allegate ed i relativi punteggi e giudizi ivi riportati; </w:t>
      </w:r>
      <w:r w:rsidRPr="008B3F4B">
        <w:rPr>
          <w:rFonts w:asciiTheme="minorHAnsi" w:eastAsia="Times New Roman" w:hAnsiTheme="minorHAnsi" w:cstheme="minorHAnsi"/>
          <w:color w:val="3D3B39"/>
          <w:lang w:eastAsia="it-IT"/>
        </w:rPr>
        <w:br/>
      </w:r>
      <w:r w:rsidRPr="008B3F4B">
        <w:rPr>
          <w:rFonts w:asciiTheme="minorHAnsi" w:eastAsia="Times New Roman" w:hAnsiTheme="minorHAnsi" w:cstheme="minorHAnsi"/>
          <w:color w:val="3D3B39"/>
          <w:lang w:eastAsia="it-IT"/>
        </w:rPr>
        <w:lastRenderedPageBreak/>
        <w:t>- della documentazione di gara, se e nella misura in cui dovesse essere ritenuta lesiva degli interessi della ricorrente, costituita da bando di gara e successiva rettifica, disciplinare di gara e relativi allegati (</w:t>
      </w:r>
      <w:proofErr w:type="spellStart"/>
      <w:r w:rsidRPr="008B3F4B">
        <w:rPr>
          <w:rFonts w:asciiTheme="minorHAnsi" w:eastAsia="Times New Roman" w:hAnsiTheme="minorHAnsi" w:cstheme="minorHAnsi"/>
          <w:color w:val="3D3B39"/>
          <w:lang w:eastAsia="it-IT"/>
        </w:rPr>
        <w:t>All</w:t>
      </w:r>
      <w:proofErr w:type="spellEnd"/>
      <w:r w:rsidRPr="008B3F4B">
        <w:rPr>
          <w:rFonts w:asciiTheme="minorHAnsi" w:eastAsia="Times New Roman" w:hAnsiTheme="minorHAnsi" w:cstheme="minorHAnsi"/>
          <w:color w:val="3D3B39"/>
          <w:lang w:eastAsia="it-IT"/>
        </w:rPr>
        <w:t xml:space="preserve">. 1: domanda di partecipazione, </w:t>
      </w:r>
      <w:proofErr w:type="spellStart"/>
      <w:r w:rsidRPr="008B3F4B">
        <w:rPr>
          <w:rFonts w:asciiTheme="minorHAnsi" w:eastAsia="Times New Roman" w:hAnsiTheme="minorHAnsi" w:cstheme="minorHAnsi"/>
          <w:color w:val="3D3B39"/>
          <w:lang w:eastAsia="it-IT"/>
        </w:rPr>
        <w:t>All</w:t>
      </w:r>
      <w:proofErr w:type="spellEnd"/>
      <w:r w:rsidRPr="008B3F4B">
        <w:rPr>
          <w:rFonts w:asciiTheme="minorHAnsi" w:eastAsia="Times New Roman" w:hAnsiTheme="minorHAnsi" w:cstheme="minorHAnsi"/>
          <w:color w:val="3D3B39"/>
          <w:lang w:eastAsia="it-IT"/>
        </w:rPr>
        <w:t xml:space="preserve">. 2: Modello DGUE, </w:t>
      </w:r>
      <w:proofErr w:type="spellStart"/>
      <w:r w:rsidRPr="008B3F4B">
        <w:rPr>
          <w:rFonts w:asciiTheme="minorHAnsi" w:eastAsia="Times New Roman" w:hAnsiTheme="minorHAnsi" w:cstheme="minorHAnsi"/>
          <w:color w:val="3D3B39"/>
          <w:lang w:eastAsia="it-IT"/>
        </w:rPr>
        <w:t>All</w:t>
      </w:r>
      <w:proofErr w:type="spellEnd"/>
      <w:r w:rsidRPr="008B3F4B">
        <w:rPr>
          <w:rFonts w:asciiTheme="minorHAnsi" w:eastAsia="Times New Roman" w:hAnsiTheme="minorHAnsi" w:cstheme="minorHAnsi"/>
          <w:color w:val="3D3B39"/>
          <w:lang w:eastAsia="it-IT"/>
        </w:rPr>
        <w:t xml:space="preserve">. 3: Modello Offerta economica, </w:t>
      </w:r>
      <w:proofErr w:type="spellStart"/>
      <w:r w:rsidRPr="008B3F4B">
        <w:rPr>
          <w:rFonts w:asciiTheme="minorHAnsi" w:eastAsia="Times New Roman" w:hAnsiTheme="minorHAnsi" w:cstheme="minorHAnsi"/>
          <w:color w:val="3D3B39"/>
          <w:lang w:eastAsia="it-IT"/>
        </w:rPr>
        <w:t>All</w:t>
      </w:r>
      <w:proofErr w:type="spellEnd"/>
      <w:r w:rsidRPr="008B3F4B">
        <w:rPr>
          <w:rFonts w:asciiTheme="minorHAnsi" w:eastAsia="Times New Roman" w:hAnsiTheme="minorHAnsi" w:cstheme="minorHAnsi"/>
          <w:color w:val="3D3B39"/>
          <w:lang w:eastAsia="it-IT"/>
        </w:rPr>
        <w:t xml:space="preserve">. 4.: Tavola “Z_1 e Z_2” del DM 143/2013, </w:t>
      </w:r>
      <w:proofErr w:type="spellStart"/>
      <w:r w:rsidRPr="008B3F4B">
        <w:rPr>
          <w:rFonts w:asciiTheme="minorHAnsi" w:eastAsia="Times New Roman" w:hAnsiTheme="minorHAnsi" w:cstheme="minorHAnsi"/>
          <w:color w:val="3D3B39"/>
          <w:lang w:eastAsia="it-IT"/>
        </w:rPr>
        <w:t>All</w:t>
      </w:r>
      <w:proofErr w:type="spellEnd"/>
      <w:r w:rsidRPr="008B3F4B">
        <w:rPr>
          <w:rFonts w:asciiTheme="minorHAnsi" w:eastAsia="Times New Roman" w:hAnsiTheme="minorHAnsi" w:cstheme="minorHAnsi"/>
          <w:color w:val="3D3B39"/>
          <w:lang w:eastAsia="it-IT"/>
        </w:rPr>
        <w:t xml:space="preserve">. n. 5 Protocollo di Legalità), appendice al disciplinare, capitolato speciale di appalto parte generale, capitolato speciale di appalto parte tecnica, schema di contratto (accordo quadro), schema di contratto attuativo; </w:t>
      </w:r>
      <w:r w:rsidRPr="008B3F4B">
        <w:rPr>
          <w:rFonts w:asciiTheme="minorHAnsi" w:eastAsia="Times New Roman" w:hAnsiTheme="minorHAnsi" w:cstheme="minorHAnsi"/>
          <w:color w:val="3D3B39"/>
          <w:lang w:eastAsia="it-IT"/>
        </w:rPr>
        <w:br/>
        <w:t xml:space="preserve">- di tutta l'offerta, costituita da documentazione amministrativa, offerta tecnica ed offerta economica, presentata dal costituendo </w:t>
      </w:r>
      <w:proofErr w:type="spellStart"/>
      <w:r w:rsidRPr="008B3F4B">
        <w:rPr>
          <w:rFonts w:asciiTheme="minorHAnsi" w:eastAsia="Times New Roman" w:hAnsiTheme="minorHAnsi" w:cstheme="minorHAnsi"/>
          <w:color w:val="3D3B39"/>
          <w:lang w:eastAsia="it-IT"/>
        </w:rPr>
        <w:t>r.t.i</w:t>
      </w:r>
      <w:proofErr w:type="spellEnd"/>
      <w:r w:rsidRPr="008B3F4B">
        <w:rPr>
          <w:rFonts w:asciiTheme="minorHAnsi" w:eastAsia="Times New Roman" w:hAnsiTheme="minorHAnsi" w:cstheme="minorHAnsi"/>
          <w:color w:val="3D3B39"/>
          <w:lang w:eastAsia="it-IT"/>
        </w:rPr>
        <w:t xml:space="preserve">. composto da OMISSIS s.r.l., OMISSIS s.r.l. e OMISSIS </w:t>
      </w:r>
      <w:proofErr w:type="spellStart"/>
      <w:r w:rsidRPr="008B3F4B">
        <w:rPr>
          <w:rFonts w:asciiTheme="minorHAnsi" w:eastAsia="Times New Roman" w:hAnsiTheme="minorHAnsi" w:cstheme="minorHAnsi"/>
          <w:color w:val="3D3B39"/>
          <w:lang w:eastAsia="it-IT"/>
        </w:rPr>
        <w:t>s.p.a.</w:t>
      </w:r>
      <w:proofErr w:type="spellEnd"/>
      <w:r w:rsidRPr="008B3F4B">
        <w:rPr>
          <w:rFonts w:asciiTheme="minorHAnsi" w:eastAsia="Times New Roman" w:hAnsiTheme="minorHAnsi" w:cstheme="minorHAnsi"/>
          <w:color w:val="3D3B39"/>
          <w:lang w:eastAsia="it-IT"/>
        </w:rPr>
        <w:t xml:space="preserve"> e di tutto quanto in ciascun documento dell'offerta rilevato e/o allegato; </w:t>
      </w:r>
      <w:r w:rsidRPr="008B3F4B">
        <w:rPr>
          <w:rFonts w:asciiTheme="minorHAnsi" w:eastAsia="Times New Roman" w:hAnsiTheme="minorHAnsi" w:cstheme="minorHAnsi"/>
          <w:color w:val="3D3B39"/>
          <w:lang w:eastAsia="it-IT"/>
        </w:rPr>
        <w:br/>
        <w:t xml:space="preserve">- di ogni atto e/o provvedimento preordinato, connesso e/o conseguente, se e per quanto lesivo degli interessi della ricorrente, con particolare riferimento al decreto dirigenziale n. 85 del 26/4/2018 di nomina della commissione giudicatrice, alla nota </w:t>
      </w:r>
      <w:proofErr w:type="spellStart"/>
      <w:r w:rsidRPr="008B3F4B">
        <w:rPr>
          <w:rFonts w:asciiTheme="minorHAnsi" w:eastAsia="Times New Roman" w:hAnsiTheme="minorHAnsi" w:cstheme="minorHAnsi"/>
          <w:color w:val="3D3B39"/>
          <w:lang w:eastAsia="it-IT"/>
        </w:rPr>
        <w:t>prot</w:t>
      </w:r>
      <w:proofErr w:type="spellEnd"/>
      <w:r w:rsidRPr="008B3F4B">
        <w:rPr>
          <w:rFonts w:asciiTheme="minorHAnsi" w:eastAsia="Times New Roman" w:hAnsiTheme="minorHAnsi" w:cstheme="minorHAnsi"/>
          <w:color w:val="3D3B39"/>
          <w:lang w:eastAsia="it-IT"/>
        </w:rPr>
        <w:t xml:space="preserve"> n. 0662782 del 22/10/18 di riscontro alla richiesta di accesso agli atti della ricorrente, al decreto dirigenziale n. 9 del 17/01/2018 della Direzione Generale/Ufficio/Struttura 6, UOD/Staff 1, di proroga al 6/2/18 per la presentazione delle domande di partecipazione alla gara di interesse, al decreto dirigenziale della Direzione Generale/Ufficio/Struttura 6, UOD Staff 1, n. 1 del 3/1/18 di indizione della gara di interesse, al decreto dirigenziale del dipartimento 70 della direzione generale 5 UOD Area Tecnica n. 1 del 2/1/18 di avvio della gara di interesse, ai chiarimenti forniti; </w:t>
      </w:r>
      <w:r w:rsidRPr="008B3F4B">
        <w:rPr>
          <w:rFonts w:asciiTheme="minorHAnsi" w:eastAsia="Times New Roman" w:hAnsiTheme="minorHAnsi" w:cstheme="minorHAnsi"/>
          <w:color w:val="3D3B39"/>
          <w:lang w:eastAsia="it-IT"/>
        </w:rPr>
        <w:br/>
        <w:t xml:space="preserve">- nonché per la declaratoria di nullità e/o inefficacia e di caducazione del contratto eventualmente stipulato; </w:t>
      </w:r>
      <w:r w:rsidRPr="008B3F4B">
        <w:rPr>
          <w:rFonts w:asciiTheme="minorHAnsi" w:eastAsia="Times New Roman" w:hAnsiTheme="minorHAnsi" w:cstheme="minorHAnsi"/>
          <w:color w:val="3D3B39"/>
          <w:lang w:eastAsia="it-IT"/>
        </w:rPr>
        <w:br/>
        <w:t xml:space="preserve">II) con i motivi aggiunti depositati il 10 dicembre 2018: </w:t>
      </w:r>
      <w:r w:rsidRPr="008B3F4B">
        <w:rPr>
          <w:rFonts w:asciiTheme="minorHAnsi" w:eastAsia="Times New Roman" w:hAnsiTheme="minorHAnsi" w:cstheme="minorHAnsi"/>
          <w:color w:val="3D3B39"/>
          <w:lang w:eastAsia="it-IT"/>
        </w:rPr>
        <w:br/>
        <w:t xml:space="preserve">- del silenzio - rifiuto formatosi sull’istanza di accesso agli atti del 19/10/2018 e del 8/11/18 formulata da OMISSIS </w:t>
      </w:r>
      <w:proofErr w:type="spellStart"/>
      <w:r w:rsidRPr="008B3F4B">
        <w:rPr>
          <w:rFonts w:asciiTheme="minorHAnsi" w:eastAsia="Times New Roman" w:hAnsiTheme="minorHAnsi" w:cstheme="minorHAnsi"/>
          <w:color w:val="3D3B39"/>
          <w:lang w:eastAsia="it-IT"/>
        </w:rPr>
        <w:t>s.p.a.</w:t>
      </w:r>
      <w:proofErr w:type="spellEnd"/>
      <w:r w:rsidRPr="008B3F4B">
        <w:rPr>
          <w:rFonts w:asciiTheme="minorHAnsi" w:eastAsia="Times New Roman" w:hAnsiTheme="minorHAnsi" w:cstheme="minorHAnsi"/>
          <w:color w:val="3D3B39"/>
          <w:lang w:eastAsia="it-IT"/>
        </w:rPr>
        <w:t>, quale mandataria del costituendo raggruppamento di imprese, alla Regione Campania, in relazione alla </w:t>
      </w:r>
      <w:r w:rsidRPr="008B3F4B">
        <w:rPr>
          <w:rFonts w:asciiTheme="minorHAnsi" w:eastAsia="Times New Roman" w:hAnsiTheme="minorHAnsi" w:cstheme="minorHAnsi"/>
          <w:i/>
          <w:iCs/>
          <w:color w:val="3D3B39"/>
          <w:lang w:eastAsia="it-IT"/>
        </w:rPr>
        <w:t>“documentazione completa relativa alla fase di verifica post aggiudicazione (richiesta inviata, documentazione a comprova pervenuta, etc.) ed a tutti i successivi atti della procedura di gara” trasmessa dal costituendo RT OMISSIS, aggiudicatario del lotto n. 1 (CIG:7332580C6D) nell’ambito della “</w:t>
      </w:r>
      <w:proofErr w:type="spellStart"/>
      <w:r w:rsidRPr="008B3F4B">
        <w:rPr>
          <w:rFonts w:asciiTheme="minorHAnsi" w:eastAsia="Times New Roman" w:hAnsiTheme="minorHAnsi" w:cstheme="minorHAnsi"/>
          <w:i/>
          <w:iCs/>
          <w:color w:val="3D3B39"/>
          <w:lang w:eastAsia="it-IT"/>
        </w:rPr>
        <w:t>proc</w:t>
      </w:r>
      <w:proofErr w:type="spellEnd"/>
      <w:r w:rsidRPr="008B3F4B">
        <w:rPr>
          <w:rFonts w:asciiTheme="minorHAnsi" w:eastAsia="Times New Roman" w:hAnsiTheme="minorHAnsi" w:cstheme="minorHAnsi"/>
          <w:i/>
          <w:iCs/>
          <w:color w:val="3D3B39"/>
          <w:lang w:eastAsia="it-IT"/>
        </w:rPr>
        <w:t xml:space="preserve"> n. 2597/A-SIA/18 – </w:t>
      </w:r>
      <w:proofErr w:type="spellStart"/>
      <w:r w:rsidRPr="008B3F4B">
        <w:rPr>
          <w:rFonts w:asciiTheme="minorHAnsi" w:eastAsia="Times New Roman" w:hAnsiTheme="minorHAnsi" w:cstheme="minorHAnsi"/>
          <w:i/>
          <w:iCs/>
          <w:color w:val="3D3B39"/>
          <w:lang w:eastAsia="it-IT"/>
        </w:rPr>
        <w:t>Proc</w:t>
      </w:r>
      <w:proofErr w:type="spellEnd"/>
      <w:r w:rsidRPr="008B3F4B">
        <w:rPr>
          <w:rFonts w:asciiTheme="minorHAnsi" w:eastAsia="Times New Roman" w:hAnsiTheme="minorHAnsi" w:cstheme="minorHAnsi"/>
          <w:i/>
          <w:iCs/>
          <w:color w:val="3D3B39"/>
          <w:lang w:eastAsia="it-IT"/>
        </w:rPr>
        <w:t xml:space="preserve"> n. 2597/A-SIA/18”</w:t>
      </w:r>
      <w:r w:rsidRPr="008B3F4B">
        <w:rPr>
          <w:rFonts w:asciiTheme="minorHAnsi" w:eastAsia="Times New Roman" w:hAnsiTheme="minorHAnsi" w:cstheme="minorHAnsi"/>
          <w:color w:val="3D3B39"/>
          <w:lang w:eastAsia="it-IT"/>
        </w:rPr>
        <w:t xml:space="preserve">; </w:t>
      </w:r>
      <w:r w:rsidRPr="008B3F4B">
        <w:rPr>
          <w:rFonts w:asciiTheme="minorHAnsi" w:eastAsia="Times New Roman" w:hAnsiTheme="minorHAnsi" w:cstheme="minorHAnsi"/>
          <w:color w:val="3D3B39"/>
          <w:lang w:eastAsia="it-IT"/>
        </w:rPr>
        <w:br/>
        <w:t xml:space="preserve">- per l’accertamento del diritto all’accesso alla documentazione; </w:t>
      </w:r>
      <w:r w:rsidRPr="008B3F4B">
        <w:rPr>
          <w:rFonts w:asciiTheme="minorHAnsi" w:eastAsia="Times New Roman" w:hAnsiTheme="minorHAnsi" w:cstheme="minorHAnsi"/>
          <w:color w:val="3D3B39"/>
          <w:lang w:eastAsia="it-IT"/>
        </w:rPr>
        <w:br/>
        <w:t xml:space="preserve">III) con i motivi aggiunti depositati il 1 dicembre 2019: </w:t>
      </w:r>
      <w:r w:rsidRPr="008B3F4B">
        <w:rPr>
          <w:rFonts w:asciiTheme="minorHAnsi" w:eastAsia="Times New Roman" w:hAnsiTheme="minorHAnsi" w:cstheme="minorHAnsi"/>
          <w:color w:val="3D3B39"/>
          <w:lang w:eastAsia="it-IT"/>
        </w:rPr>
        <w:br/>
        <w:t xml:space="preserve">- degli atti acquisiti in esito all’accesso del 8/1/2019 (di cui alla </w:t>
      </w:r>
      <w:proofErr w:type="spellStart"/>
      <w:r w:rsidRPr="008B3F4B">
        <w:rPr>
          <w:rFonts w:asciiTheme="minorHAnsi" w:eastAsia="Times New Roman" w:hAnsiTheme="minorHAnsi" w:cstheme="minorHAnsi"/>
          <w:color w:val="3D3B39"/>
          <w:lang w:eastAsia="it-IT"/>
        </w:rPr>
        <w:t>pec</w:t>
      </w:r>
      <w:proofErr w:type="spellEnd"/>
      <w:r w:rsidRPr="008B3F4B">
        <w:rPr>
          <w:rFonts w:asciiTheme="minorHAnsi" w:eastAsia="Times New Roman" w:hAnsiTheme="minorHAnsi" w:cstheme="minorHAnsi"/>
          <w:color w:val="3D3B39"/>
          <w:lang w:eastAsia="it-IT"/>
        </w:rPr>
        <w:t xml:space="preserve"> del 8/1/19 della Regione Campania), relativi ai documenti trasmessi dal costituendo </w:t>
      </w:r>
      <w:proofErr w:type="spellStart"/>
      <w:r w:rsidRPr="008B3F4B">
        <w:rPr>
          <w:rFonts w:asciiTheme="minorHAnsi" w:eastAsia="Times New Roman" w:hAnsiTheme="minorHAnsi" w:cstheme="minorHAnsi"/>
          <w:color w:val="3D3B39"/>
          <w:lang w:eastAsia="it-IT"/>
        </w:rPr>
        <w:t>r.t.i</w:t>
      </w:r>
      <w:proofErr w:type="spellEnd"/>
      <w:r w:rsidRPr="008B3F4B">
        <w:rPr>
          <w:rFonts w:asciiTheme="minorHAnsi" w:eastAsia="Times New Roman" w:hAnsiTheme="minorHAnsi" w:cstheme="minorHAnsi"/>
          <w:color w:val="3D3B39"/>
          <w:lang w:eastAsia="it-IT"/>
        </w:rPr>
        <w:t xml:space="preserve">. OMISSIS a comprova dei requisiti di idoneità, capacità economica–finanziaria e capacità tecnico-professionale, dichiarati in sede di gara. </w:t>
      </w:r>
      <w:r w:rsidRPr="008B3F4B">
        <w:rPr>
          <w:rFonts w:asciiTheme="minorHAnsi" w:eastAsia="Times New Roman" w:hAnsiTheme="minorHAnsi" w:cstheme="minorHAnsi"/>
          <w:color w:val="3D3B39"/>
          <w:lang w:eastAsia="it-IT"/>
        </w:rPr>
        <w:br/>
        <w:t xml:space="preserve">- della documentazione rubricata “Regione Campania, </w:t>
      </w:r>
      <w:proofErr w:type="spellStart"/>
      <w:r w:rsidRPr="008B3F4B">
        <w:rPr>
          <w:rFonts w:asciiTheme="minorHAnsi" w:eastAsia="Times New Roman" w:hAnsiTheme="minorHAnsi" w:cstheme="minorHAnsi"/>
          <w:color w:val="3D3B39"/>
          <w:lang w:eastAsia="it-IT"/>
        </w:rPr>
        <w:t>sottofascicolo</w:t>
      </w:r>
      <w:proofErr w:type="spellEnd"/>
      <w:r w:rsidRPr="008B3F4B">
        <w:rPr>
          <w:rFonts w:asciiTheme="minorHAnsi" w:eastAsia="Times New Roman" w:hAnsiTheme="minorHAnsi" w:cstheme="minorHAnsi"/>
          <w:color w:val="3D3B39"/>
          <w:lang w:eastAsia="it-IT"/>
        </w:rPr>
        <w:t xml:space="preserve"> verifiche </w:t>
      </w:r>
      <w:proofErr w:type="spellStart"/>
      <w:r w:rsidRPr="008B3F4B">
        <w:rPr>
          <w:rFonts w:asciiTheme="minorHAnsi" w:eastAsia="Times New Roman" w:hAnsiTheme="minorHAnsi" w:cstheme="minorHAnsi"/>
          <w:color w:val="3D3B39"/>
          <w:lang w:eastAsia="it-IT"/>
        </w:rPr>
        <w:t>AVCpass</w:t>
      </w:r>
      <w:proofErr w:type="spellEnd"/>
      <w:r w:rsidRPr="008B3F4B">
        <w:rPr>
          <w:rFonts w:asciiTheme="minorHAnsi" w:eastAsia="Times New Roman" w:hAnsiTheme="minorHAnsi" w:cstheme="minorHAnsi"/>
          <w:color w:val="3D3B39"/>
          <w:lang w:eastAsia="it-IT"/>
        </w:rPr>
        <w:t xml:space="preserve">”, della documentazione rubricata “Regione Campania, </w:t>
      </w:r>
      <w:proofErr w:type="spellStart"/>
      <w:r w:rsidRPr="008B3F4B">
        <w:rPr>
          <w:rFonts w:asciiTheme="minorHAnsi" w:eastAsia="Times New Roman" w:hAnsiTheme="minorHAnsi" w:cstheme="minorHAnsi"/>
          <w:color w:val="3D3B39"/>
          <w:lang w:eastAsia="it-IT"/>
        </w:rPr>
        <w:t>sottofascicolo</w:t>
      </w:r>
      <w:proofErr w:type="spellEnd"/>
      <w:r w:rsidRPr="008B3F4B">
        <w:rPr>
          <w:rFonts w:asciiTheme="minorHAnsi" w:eastAsia="Times New Roman" w:hAnsiTheme="minorHAnsi" w:cstheme="minorHAnsi"/>
          <w:color w:val="3D3B39"/>
          <w:lang w:eastAsia="it-IT"/>
        </w:rPr>
        <w:t xml:space="preserve"> Quantica”, della documentazione delle verifiche </w:t>
      </w:r>
      <w:proofErr w:type="spellStart"/>
      <w:r w:rsidRPr="008B3F4B">
        <w:rPr>
          <w:rFonts w:asciiTheme="minorHAnsi" w:eastAsia="Times New Roman" w:hAnsiTheme="minorHAnsi" w:cstheme="minorHAnsi"/>
          <w:color w:val="3D3B39"/>
          <w:lang w:eastAsia="it-IT"/>
        </w:rPr>
        <w:t>AVCpass</w:t>
      </w:r>
      <w:proofErr w:type="spellEnd"/>
      <w:r w:rsidRPr="008B3F4B">
        <w:rPr>
          <w:rFonts w:asciiTheme="minorHAnsi" w:eastAsia="Times New Roman" w:hAnsiTheme="minorHAnsi" w:cstheme="minorHAnsi"/>
          <w:color w:val="3D3B39"/>
          <w:lang w:eastAsia="it-IT"/>
        </w:rPr>
        <w:t xml:space="preserve"> relative ad OMISSIS s.r.l., nonché di tutto quanto rilevato e/o allegato in ciascun documento, della documentazione delle verifiche </w:t>
      </w:r>
      <w:proofErr w:type="spellStart"/>
      <w:r w:rsidRPr="008B3F4B">
        <w:rPr>
          <w:rFonts w:asciiTheme="minorHAnsi" w:eastAsia="Times New Roman" w:hAnsiTheme="minorHAnsi" w:cstheme="minorHAnsi"/>
          <w:color w:val="3D3B39"/>
          <w:lang w:eastAsia="it-IT"/>
        </w:rPr>
        <w:t>AVCpass</w:t>
      </w:r>
      <w:proofErr w:type="spellEnd"/>
      <w:r w:rsidRPr="008B3F4B">
        <w:rPr>
          <w:rFonts w:asciiTheme="minorHAnsi" w:eastAsia="Times New Roman" w:hAnsiTheme="minorHAnsi" w:cstheme="minorHAnsi"/>
          <w:color w:val="3D3B39"/>
          <w:lang w:eastAsia="it-IT"/>
        </w:rPr>
        <w:t xml:space="preserve">. </w:t>
      </w:r>
    </w:p>
    <w:p w:rsidR="008B3F4B" w:rsidRPr="008B3F4B" w:rsidRDefault="008B3F4B" w:rsidP="008B3F4B">
      <w:pPr>
        <w:spacing w:after="265"/>
        <w:rPr>
          <w:rFonts w:asciiTheme="minorHAnsi" w:eastAsia="Times New Roman" w:hAnsiTheme="minorHAnsi" w:cstheme="minorHAnsi"/>
          <w:color w:val="3D3B39"/>
          <w:lang w:eastAsia="it-IT"/>
        </w:rPr>
      </w:pPr>
      <w:r w:rsidRPr="008B3F4B">
        <w:rPr>
          <w:rFonts w:asciiTheme="minorHAnsi" w:eastAsia="Times New Roman" w:hAnsiTheme="minorHAnsi" w:cstheme="minorHAnsi"/>
          <w:color w:val="3D3B39"/>
          <w:lang w:eastAsia="it-IT"/>
        </w:rPr>
        <w:t xml:space="preserve">Visti il ricorso, i motivi aggiunti e i relativi allegati; </w:t>
      </w:r>
      <w:r w:rsidRPr="008B3F4B">
        <w:rPr>
          <w:rFonts w:asciiTheme="minorHAnsi" w:eastAsia="Times New Roman" w:hAnsiTheme="minorHAnsi" w:cstheme="minorHAnsi"/>
          <w:color w:val="3D3B39"/>
          <w:lang w:eastAsia="it-IT"/>
        </w:rPr>
        <w:br/>
        <w:t xml:space="preserve">Visti gli atti di costituzione in giudizio della Regione Campania, delle società OMISSIS s.r.l., OMISSIS s.r.l., OMISSIS </w:t>
      </w:r>
      <w:proofErr w:type="spellStart"/>
      <w:r w:rsidRPr="008B3F4B">
        <w:rPr>
          <w:rFonts w:asciiTheme="minorHAnsi" w:eastAsia="Times New Roman" w:hAnsiTheme="minorHAnsi" w:cstheme="minorHAnsi"/>
          <w:color w:val="3D3B39"/>
          <w:lang w:eastAsia="it-IT"/>
        </w:rPr>
        <w:t>s.p.a.</w:t>
      </w:r>
      <w:proofErr w:type="spellEnd"/>
      <w:r w:rsidRPr="008B3F4B">
        <w:rPr>
          <w:rFonts w:asciiTheme="minorHAnsi" w:eastAsia="Times New Roman" w:hAnsiTheme="minorHAnsi" w:cstheme="minorHAnsi"/>
          <w:color w:val="3D3B39"/>
          <w:lang w:eastAsia="it-IT"/>
        </w:rPr>
        <w:t xml:space="preserve">; </w:t>
      </w:r>
      <w:r w:rsidRPr="008B3F4B">
        <w:rPr>
          <w:rFonts w:asciiTheme="minorHAnsi" w:eastAsia="Times New Roman" w:hAnsiTheme="minorHAnsi" w:cstheme="minorHAnsi"/>
          <w:color w:val="3D3B39"/>
          <w:lang w:eastAsia="it-IT"/>
        </w:rPr>
        <w:br/>
        <w:t xml:space="preserve">Visto il ricorso incidentale proposto dalle società OMISSIS s.r.l., OMISSIS s.r.l., OMISSIS </w:t>
      </w:r>
      <w:proofErr w:type="spellStart"/>
      <w:r w:rsidRPr="008B3F4B">
        <w:rPr>
          <w:rFonts w:asciiTheme="minorHAnsi" w:eastAsia="Times New Roman" w:hAnsiTheme="minorHAnsi" w:cstheme="minorHAnsi"/>
          <w:color w:val="3D3B39"/>
          <w:lang w:eastAsia="it-IT"/>
        </w:rPr>
        <w:t>s.p.a.</w:t>
      </w:r>
      <w:proofErr w:type="spellEnd"/>
      <w:r w:rsidRPr="008B3F4B">
        <w:rPr>
          <w:rFonts w:asciiTheme="minorHAnsi" w:eastAsia="Times New Roman" w:hAnsiTheme="minorHAnsi" w:cstheme="minorHAnsi"/>
          <w:color w:val="3D3B39"/>
          <w:lang w:eastAsia="it-IT"/>
        </w:rPr>
        <w:t xml:space="preserve">; </w:t>
      </w:r>
      <w:r w:rsidRPr="008B3F4B">
        <w:rPr>
          <w:rFonts w:asciiTheme="minorHAnsi" w:eastAsia="Times New Roman" w:hAnsiTheme="minorHAnsi" w:cstheme="minorHAnsi"/>
          <w:color w:val="3D3B39"/>
          <w:lang w:eastAsia="it-IT"/>
        </w:rPr>
        <w:br/>
        <w:t xml:space="preserve">Visti tutti gli atti della causa; </w:t>
      </w:r>
      <w:r w:rsidRPr="008B3F4B">
        <w:rPr>
          <w:rFonts w:asciiTheme="minorHAnsi" w:eastAsia="Times New Roman" w:hAnsiTheme="minorHAnsi" w:cstheme="minorHAnsi"/>
          <w:color w:val="3D3B39"/>
          <w:lang w:eastAsia="it-IT"/>
        </w:rPr>
        <w:br/>
        <w:t xml:space="preserve">Relatore nell'udienza pubblica del giorno 17 aprile 2019 il dott. Gianluca Di Vita e uditi per le parti i difensori come specificato nel verbale; </w:t>
      </w:r>
      <w:r w:rsidRPr="008B3F4B">
        <w:rPr>
          <w:rFonts w:asciiTheme="minorHAnsi" w:eastAsia="Times New Roman" w:hAnsiTheme="minorHAnsi" w:cstheme="minorHAnsi"/>
          <w:color w:val="3D3B39"/>
          <w:lang w:eastAsia="it-IT"/>
        </w:rPr>
        <w:br/>
        <w:t xml:space="preserve">Ritenuto e considerato in fatto e diritto quanto segue. </w:t>
      </w:r>
    </w:p>
    <w:p w:rsidR="008B3F4B" w:rsidRPr="008B3F4B" w:rsidRDefault="008B3F4B" w:rsidP="008B3F4B">
      <w:pPr>
        <w:spacing w:after="265"/>
        <w:jc w:val="center"/>
        <w:rPr>
          <w:rFonts w:asciiTheme="minorHAnsi" w:eastAsia="Times New Roman" w:hAnsiTheme="minorHAnsi" w:cstheme="minorHAnsi"/>
          <w:color w:val="3D3B39"/>
          <w:lang w:eastAsia="it-IT"/>
        </w:rPr>
      </w:pPr>
      <w:r w:rsidRPr="008B3F4B">
        <w:rPr>
          <w:rFonts w:asciiTheme="minorHAnsi" w:eastAsia="Times New Roman" w:hAnsiTheme="minorHAnsi" w:cstheme="minorHAnsi"/>
          <w:b/>
          <w:bCs/>
          <w:color w:val="3D3B39"/>
          <w:lang w:eastAsia="it-IT"/>
        </w:rPr>
        <w:t xml:space="preserve">FATTO </w:t>
      </w:r>
    </w:p>
    <w:p w:rsidR="008B3F4B" w:rsidRPr="008B3F4B" w:rsidRDefault="008B3F4B" w:rsidP="008B3F4B">
      <w:pPr>
        <w:spacing w:after="265"/>
        <w:rPr>
          <w:rFonts w:asciiTheme="minorHAnsi" w:eastAsia="Times New Roman" w:hAnsiTheme="minorHAnsi" w:cstheme="minorHAnsi"/>
          <w:color w:val="3D3B39"/>
          <w:lang w:eastAsia="it-IT"/>
        </w:rPr>
      </w:pPr>
      <w:r w:rsidRPr="008B3F4B">
        <w:rPr>
          <w:rFonts w:asciiTheme="minorHAnsi" w:eastAsia="Times New Roman" w:hAnsiTheme="minorHAnsi" w:cstheme="minorHAnsi"/>
          <w:color w:val="3D3B39"/>
          <w:lang w:eastAsia="it-IT"/>
        </w:rPr>
        <w:t xml:space="preserve">Le società OMISSIS </w:t>
      </w:r>
      <w:proofErr w:type="spellStart"/>
      <w:r w:rsidRPr="008B3F4B">
        <w:rPr>
          <w:rFonts w:asciiTheme="minorHAnsi" w:eastAsia="Times New Roman" w:hAnsiTheme="minorHAnsi" w:cstheme="minorHAnsi"/>
          <w:color w:val="3D3B39"/>
          <w:lang w:eastAsia="it-IT"/>
        </w:rPr>
        <w:t>s.p.a.</w:t>
      </w:r>
      <w:proofErr w:type="spellEnd"/>
      <w:r w:rsidRPr="008B3F4B">
        <w:rPr>
          <w:rFonts w:asciiTheme="minorHAnsi" w:eastAsia="Times New Roman" w:hAnsiTheme="minorHAnsi" w:cstheme="minorHAnsi"/>
          <w:color w:val="3D3B39"/>
          <w:lang w:eastAsia="it-IT"/>
        </w:rPr>
        <w:t xml:space="preserve"> (capogruppo mandataria), OMISSIS s.r.l., OMISSIS s.r.l. (mandanti) impugnano il provvedimento di aggiudicazione in favore del raggruppamento temporaneo di imprese OMISSIS s.r.l./OMISSIS s.r.l./OMISSIS </w:t>
      </w:r>
      <w:proofErr w:type="spellStart"/>
      <w:r w:rsidRPr="008B3F4B">
        <w:rPr>
          <w:rFonts w:asciiTheme="minorHAnsi" w:eastAsia="Times New Roman" w:hAnsiTheme="minorHAnsi" w:cstheme="minorHAnsi"/>
          <w:color w:val="3D3B39"/>
          <w:lang w:eastAsia="it-IT"/>
        </w:rPr>
        <w:t>s.p.a.</w:t>
      </w:r>
      <w:proofErr w:type="spellEnd"/>
      <w:r w:rsidRPr="008B3F4B">
        <w:rPr>
          <w:rFonts w:asciiTheme="minorHAnsi" w:eastAsia="Times New Roman" w:hAnsiTheme="minorHAnsi" w:cstheme="minorHAnsi"/>
          <w:color w:val="3D3B39"/>
          <w:lang w:eastAsia="it-IT"/>
        </w:rPr>
        <w:t xml:space="preserve"> della procedura aperta indetta dalla Regione Campania ex art. 60 del D. </w:t>
      </w:r>
      <w:proofErr w:type="spellStart"/>
      <w:r w:rsidRPr="008B3F4B">
        <w:rPr>
          <w:rFonts w:asciiTheme="minorHAnsi" w:eastAsia="Times New Roman" w:hAnsiTheme="minorHAnsi" w:cstheme="minorHAnsi"/>
          <w:color w:val="3D3B39"/>
          <w:lang w:eastAsia="it-IT"/>
        </w:rPr>
        <w:t>Lgs</w:t>
      </w:r>
      <w:proofErr w:type="spellEnd"/>
      <w:r w:rsidRPr="008B3F4B">
        <w:rPr>
          <w:rFonts w:asciiTheme="minorHAnsi" w:eastAsia="Times New Roman" w:hAnsiTheme="minorHAnsi" w:cstheme="minorHAnsi"/>
          <w:color w:val="3D3B39"/>
          <w:lang w:eastAsia="it-IT"/>
        </w:rPr>
        <w:t xml:space="preserve">. n. 50/2016 per la conclusione di un accordo quadro triennale ai sensi dell’art. 54, comma 2, del </w:t>
      </w:r>
      <w:proofErr w:type="spellStart"/>
      <w:r w:rsidRPr="008B3F4B">
        <w:rPr>
          <w:rFonts w:asciiTheme="minorHAnsi" w:eastAsia="Times New Roman" w:hAnsiTheme="minorHAnsi" w:cstheme="minorHAnsi"/>
          <w:color w:val="3D3B39"/>
          <w:lang w:eastAsia="it-IT"/>
        </w:rPr>
        <w:t>D.Lgs</w:t>
      </w:r>
      <w:proofErr w:type="spellEnd"/>
      <w:r w:rsidRPr="008B3F4B">
        <w:rPr>
          <w:rFonts w:asciiTheme="minorHAnsi" w:eastAsia="Times New Roman" w:hAnsiTheme="minorHAnsi" w:cstheme="minorHAnsi"/>
          <w:color w:val="3D3B39"/>
          <w:lang w:eastAsia="it-IT"/>
        </w:rPr>
        <w:t xml:space="preserve"> n. 50/2016, suddiviso in tre lotti del valore a base di gara di € 1.300.000 ciascuno distinti sulla base dell’area </w:t>
      </w:r>
      <w:r w:rsidRPr="008B3F4B">
        <w:rPr>
          <w:rFonts w:asciiTheme="minorHAnsi" w:eastAsia="Times New Roman" w:hAnsiTheme="minorHAnsi" w:cstheme="minorHAnsi"/>
          <w:color w:val="3D3B39"/>
          <w:lang w:eastAsia="it-IT"/>
        </w:rPr>
        <w:lastRenderedPageBreak/>
        <w:t xml:space="preserve">geografica di intervento e con il criterio di aggiudicazione dell’offerta economicamente più vantaggiosa ex art. 95, comma 2, del </w:t>
      </w:r>
      <w:proofErr w:type="spellStart"/>
      <w:r w:rsidRPr="008B3F4B">
        <w:rPr>
          <w:rFonts w:asciiTheme="minorHAnsi" w:eastAsia="Times New Roman" w:hAnsiTheme="minorHAnsi" w:cstheme="minorHAnsi"/>
          <w:color w:val="3D3B39"/>
          <w:lang w:eastAsia="it-IT"/>
        </w:rPr>
        <w:t>D.Lgs.</w:t>
      </w:r>
      <w:proofErr w:type="spellEnd"/>
      <w:r w:rsidRPr="008B3F4B">
        <w:rPr>
          <w:rFonts w:asciiTheme="minorHAnsi" w:eastAsia="Times New Roman" w:hAnsiTheme="minorHAnsi" w:cstheme="minorHAnsi"/>
          <w:color w:val="3D3B39"/>
          <w:lang w:eastAsia="it-IT"/>
        </w:rPr>
        <w:t xml:space="preserve"> n. 50/2016 per </w:t>
      </w:r>
      <w:r w:rsidRPr="008B3F4B">
        <w:rPr>
          <w:rFonts w:asciiTheme="minorHAnsi" w:eastAsia="Times New Roman" w:hAnsiTheme="minorHAnsi" w:cstheme="minorHAnsi"/>
          <w:i/>
          <w:iCs/>
          <w:color w:val="3D3B39"/>
          <w:lang w:eastAsia="it-IT"/>
        </w:rPr>
        <w:t>“l’affidamento dei servizi di ingegneria e architettura quali studi di fattibilità tecnica ed economica e/o la progettazione definitiva e/o esecutiva per la realizzazione e/o trasformazione e/o ampliamento di impianti per il trattamento della frazione organica in Regione Campania”.</w:t>
      </w:r>
      <w:r w:rsidRPr="008B3F4B">
        <w:rPr>
          <w:rFonts w:asciiTheme="minorHAnsi" w:eastAsia="Times New Roman" w:hAnsiTheme="minorHAnsi" w:cstheme="minorHAnsi"/>
          <w:color w:val="3D3B39"/>
          <w:lang w:eastAsia="it-IT"/>
        </w:rPr>
        <w:t xml:space="preserve"> </w:t>
      </w:r>
      <w:r w:rsidRPr="008B3F4B">
        <w:rPr>
          <w:rFonts w:asciiTheme="minorHAnsi" w:eastAsia="Times New Roman" w:hAnsiTheme="minorHAnsi" w:cstheme="minorHAnsi"/>
          <w:color w:val="3D3B39"/>
          <w:lang w:eastAsia="it-IT"/>
        </w:rPr>
        <w:br/>
        <w:t xml:space="preserve">Il ricorso in trattazione ha ad oggetto il lotto n. 1 CIG:7332580C6D (che riguarda la Provincia di Napoli) aggiudicato, come si è anticipato, al </w:t>
      </w:r>
      <w:proofErr w:type="spellStart"/>
      <w:r w:rsidRPr="008B3F4B">
        <w:rPr>
          <w:rFonts w:asciiTheme="minorHAnsi" w:eastAsia="Times New Roman" w:hAnsiTheme="minorHAnsi" w:cstheme="minorHAnsi"/>
          <w:color w:val="3D3B39"/>
          <w:lang w:eastAsia="it-IT"/>
        </w:rPr>
        <w:t>r.t.i</w:t>
      </w:r>
      <w:proofErr w:type="spellEnd"/>
      <w:r w:rsidRPr="008B3F4B">
        <w:rPr>
          <w:rFonts w:asciiTheme="minorHAnsi" w:eastAsia="Times New Roman" w:hAnsiTheme="minorHAnsi" w:cstheme="minorHAnsi"/>
          <w:color w:val="3D3B39"/>
          <w:lang w:eastAsia="it-IT"/>
        </w:rPr>
        <w:t xml:space="preserve">. OMISSIS, risultato primo graduato all’esito della selezione concorsuale con un punteggio complessivo di 81,908 di cui 63,750 punti per l’offerta tecnica e 18,158 per l’offerta economica. </w:t>
      </w:r>
      <w:r w:rsidRPr="008B3F4B">
        <w:rPr>
          <w:rFonts w:asciiTheme="minorHAnsi" w:eastAsia="Times New Roman" w:hAnsiTheme="minorHAnsi" w:cstheme="minorHAnsi"/>
          <w:color w:val="3D3B39"/>
          <w:lang w:eastAsia="it-IT"/>
        </w:rPr>
        <w:br/>
        <w:t xml:space="preserve">In seconda posizione si è collocata la ricorrente con punteggio complessivo di 77,831 di cui 63,870 per l’offerta tecnica e 13,961 per l’offerta economica. </w:t>
      </w:r>
      <w:r w:rsidRPr="008B3F4B">
        <w:rPr>
          <w:rFonts w:asciiTheme="minorHAnsi" w:eastAsia="Times New Roman" w:hAnsiTheme="minorHAnsi" w:cstheme="minorHAnsi"/>
          <w:color w:val="3D3B39"/>
          <w:lang w:eastAsia="it-IT"/>
        </w:rPr>
        <w:br/>
        <w:t xml:space="preserve">A sostegno dell’esperito gravame le società ricorrenti deducono i profili di illegittimità di seguito </w:t>
      </w:r>
      <w:proofErr w:type="spellStart"/>
      <w:r w:rsidRPr="008B3F4B">
        <w:rPr>
          <w:rFonts w:asciiTheme="minorHAnsi" w:eastAsia="Times New Roman" w:hAnsiTheme="minorHAnsi" w:cstheme="minorHAnsi"/>
          <w:color w:val="3D3B39"/>
          <w:lang w:eastAsia="it-IT"/>
        </w:rPr>
        <w:t>rubrucati</w:t>
      </w:r>
      <w:proofErr w:type="spellEnd"/>
      <w:r w:rsidRPr="008B3F4B">
        <w:rPr>
          <w:rFonts w:asciiTheme="minorHAnsi" w:eastAsia="Times New Roman" w:hAnsiTheme="minorHAnsi" w:cstheme="minorHAnsi"/>
          <w:color w:val="3D3B39"/>
          <w:lang w:eastAsia="it-IT"/>
        </w:rPr>
        <w:t>: violazione della </w:t>
      </w:r>
      <w:proofErr w:type="spellStart"/>
      <w:r w:rsidRPr="008B3F4B">
        <w:rPr>
          <w:rFonts w:asciiTheme="minorHAnsi" w:eastAsia="Times New Roman" w:hAnsiTheme="minorHAnsi" w:cstheme="minorHAnsi"/>
          <w:i/>
          <w:iCs/>
          <w:color w:val="3D3B39"/>
          <w:lang w:eastAsia="it-IT"/>
        </w:rPr>
        <w:t>lex</w:t>
      </w:r>
      <w:proofErr w:type="spellEnd"/>
      <w:r w:rsidRPr="008B3F4B">
        <w:rPr>
          <w:rFonts w:asciiTheme="minorHAnsi" w:eastAsia="Times New Roman" w:hAnsiTheme="minorHAnsi" w:cstheme="minorHAnsi"/>
          <w:i/>
          <w:iCs/>
          <w:color w:val="3D3B39"/>
          <w:lang w:eastAsia="it-IT"/>
        </w:rPr>
        <w:t xml:space="preserve"> </w:t>
      </w:r>
      <w:proofErr w:type="spellStart"/>
      <w:r w:rsidRPr="008B3F4B">
        <w:rPr>
          <w:rFonts w:asciiTheme="minorHAnsi" w:eastAsia="Times New Roman" w:hAnsiTheme="minorHAnsi" w:cstheme="minorHAnsi"/>
          <w:i/>
          <w:iCs/>
          <w:color w:val="3D3B39"/>
          <w:lang w:eastAsia="it-IT"/>
        </w:rPr>
        <w:t>specialis</w:t>
      </w:r>
      <w:proofErr w:type="spellEnd"/>
      <w:r w:rsidRPr="008B3F4B">
        <w:rPr>
          <w:rFonts w:asciiTheme="minorHAnsi" w:eastAsia="Times New Roman" w:hAnsiTheme="minorHAnsi" w:cstheme="minorHAnsi"/>
          <w:color w:val="3D3B39"/>
          <w:lang w:eastAsia="it-IT"/>
        </w:rPr>
        <w:t xml:space="preserve">, violazione del </w:t>
      </w:r>
      <w:proofErr w:type="spellStart"/>
      <w:r w:rsidRPr="008B3F4B">
        <w:rPr>
          <w:rFonts w:asciiTheme="minorHAnsi" w:eastAsia="Times New Roman" w:hAnsiTheme="minorHAnsi" w:cstheme="minorHAnsi"/>
          <w:color w:val="3D3B39"/>
          <w:lang w:eastAsia="it-IT"/>
        </w:rPr>
        <w:t>D.Lgs.</w:t>
      </w:r>
      <w:proofErr w:type="spellEnd"/>
      <w:r w:rsidRPr="008B3F4B">
        <w:rPr>
          <w:rFonts w:asciiTheme="minorHAnsi" w:eastAsia="Times New Roman" w:hAnsiTheme="minorHAnsi" w:cstheme="minorHAnsi"/>
          <w:color w:val="3D3B39"/>
          <w:lang w:eastAsia="it-IT"/>
        </w:rPr>
        <w:t xml:space="preserve"> n. 50/2016, violazione della L. n. 190/2012, violazione della L. n. 241/1990 e dell’art. 97 della Costituzione, violazione del principio di buon andamento dell’azione amministrativa, eccesso di potere, illogicità manifesta, contraddittorietà, carenza dei presupposti, carenza di istruttoria, difetto di motivazione, travisamento. </w:t>
      </w:r>
      <w:r w:rsidRPr="008B3F4B">
        <w:rPr>
          <w:rFonts w:asciiTheme="minorHAnsi" w:eastAsia="Times New Roman" w:hAnsiTheme="minorHAnsi" w:cstheme="minorHAnsi"/>
          <w:color w:val="3D3B39"/>
          <w:lang w:eastAsia="it-IT"/>
        </w:rPr>
        <w:br/>
        <w:t xml:space="preserve">Con successivi motivi aggiunti depositati il 10 dicembre 2018 le istanti lamentano l’illegittimità del silenzio serbato dall’amministrazione sulle richieste di accesso ex art. 116 del </w:t>
      </w:r>
      <w:proofErr w:type="spellStart"/>
      <w:r w:rsidRPr="008B3F4B">
        <w:rPr>
          <w:rFonts w:asciiTheme="minorHAnsi" w:eastAsia="Times New Roman" w:hAnsiTheme="minorHAnsi" w:cstheme="minorHAnsi"/>
          <w:color w:val="3D3B39"/>
          <w:lang w:eastAsia="it-IT"/>
        </w:rPr>
        <w:t>c.p.a</w:t>
      </w:r>
      <w:proofErr w:type="spellEnd"/>
      <w:r w:rsidRPr="008B3F4B">
        <w:rPr>
          <w:rFonts w:asciiTheme="minorHAnsi" w:eastAsia="Times New Roman" w:hAnsiTheme="minorHAnsi" w:cstheme="minorHAnsi"/>
          <w:color w:val="3D3B39"/>
          <w:lang w:eastAsia="it-IT"/>
        </w:rPr>
        <w:t>. avanzate il 19.10.2018 e l’8.11.2018 in relazione alla</w:t>
      </w:r>
      <w:r w:rsidRPr="008B3F4B">
        <w:rPr>
          <w:rFonts w:asciiTheme="minorHAnsi" w:eastAsia="Times New Roman" w:hAnsiTheme="minorHAnsi" w:cstheme="minorHAnsi"/>
          <w:i/>
          <w:iCs/>
          <w:color w:val="3D3B39"/>
          <w:lang w:eastAsia="it-IT"/>
        </w:rPr>
        <w:t> “documentazione completa relativa alla fase di verifica post aggiudicazione (richiesta inviata, documentazione a comprova pervenuta, etc.) ed a tutti i successivi atti della procedura di gara”.</w:t>
      </w:r>
      <w:r w:rsidRPr="008B3F4B">
        <w:rPr>
          <w:rFonts w:asciiTheme="minorHAnsi" w:eastAsia="Times New Roman" w:hAnsiTheme="minorHAnsi" w:cstheme="minorHAnsi"/>
          <w:color w:val="3D3B39"/>
          <w:lang w:eastAsia="it-IT"/>
        </w:rPr>
        <w:t xml:space="preserve"> </w:t>
      </w:r>
      <w:r w:rsidRPr="008B3F4B">
        <w:rPr>
          <w:rFonts w:asciiTheme="minorHAnsi" w:eastAsia="Times New Roman" w:hAnsiTheme="minorHAnsi" w:cstheme="minorHAnsi"/>
          <w:color w:val="3D3B39"/>
          <w:lang w:eastAsia="it-IT"/>
        </w:rPr>
        <w:br/>
        <w:t xml:space="preserve">In seguito all’ostensione degli atti richiesti ad opera della Regione Campania, le società ricorrenti hanno notificato ulteriori motivi aggiunti depositati il 1 febbraio 2019 avverso gli atti in epigrafe per violazione di legge ed eccesso di potere sotto distinti profili. </w:t>
      </w:r>
      <w:r w:rsidRPr="008B3F4B">
        <w:rPr>
          <w:rFonts w:asciiTheme="minorHAnsi" w:eastAsia="Times New Roman" w:hAnsiTheme="minorHAnsi" w:cstheme="minorHAnsi"/>
          <w:color w:val="3D3B39"/>
          <w:lang w:eastAsia="it-IT"/>
        </w:rPr>
        <w:br/>
        <w:t xml:space="preserve">Le </w:t>
      </w:r>
      <w:proofErr w:type="spellStart"/>
      <w:r w:rsidRPr="008B3F4B">
        <w:rPr>
          <w:rFonts w:asciiTheme="minorHAnsi" w:eastAsia="Times New Roman" w:hAnsiTheme="minorHAnsi" w:cstheme="minorHAnsi"/>
          <w:color w:val="3D3B39"/>
          <w:lang w:eastAsia="it-IT"/>
        </w:rPr>
        <w:t>controinteressate</w:t>
      </w:r>
      <w:proofErr w:type="spellEnd"/>
      <w:r w:rsidRPr="008B3F4B">
        <w:rPr>
          <w:rFonts w:asciiTheme="minorHAnsi" w:eastAsia="Times New Roman" w:hAnsiTheme="minorHAnsi" w:cstheme="minorHAnsi"/>
          <w:color w:val="3D3B39"/>
          <w:lang w:eastAsia="it-IT"/>
        </w:rPr>
        <w:t xml:space="preserve"> OMISSIS s.r.l., OMISSIS s.r.l., OMISSIS </w:t>
      </w:r>
      <w:proofErr w:type="spellStart"/>
      <w:r w:rsidRPr="008B3F4B">
        <w:rPr>
          <w:rFonts w:asciiTheme="minorHAnsi" w:eastAsia="Times New Roman" w:hAnsiTheme="minorHAnsi" w:cstheme="minorHAnsi"/>
          <w:color w:val="3D3B39"/>
          <w:lang w:eastAsia="it-IT"/>
        </w:rPr>
        <w:t>s.p.a.</w:t>
      </w:r>
      <w:proofErr w:type="spellEnd"/>
      <w:r w:rsidRPr="008B3F4B">
        <w:rPr>
          <w:rFonts w:asciiTheme="minorHAnsi" w:eastAsia="Times New Roman" w:hAnsiTheme="minorHAnsi" w:cstheme="minorHAnsi"/>
          <w:color w:val="3D3B39"/>
          <w:lang w:eastAsia="it-IT"/>
        </w:rPr>
        <w:t xml:space="preserve"> si sono costituite per resistere al gravame proposto </w:t>
      </w:r>
      <w:r w:rsidRPr="008B3F4B">
        <w:rPr>
          <w:rFonts w:asciiTheme="minorHAnsi" w:eastAsia="Times New Roman" w:hAnsiTheme="minorHAnsi" w:cstheme="minorHAnsi"/>
          <w:i/>
          <w:iCs/>
          <w:color w:val="3D3B39"/>
          <w:lang w:eastAsia="it-IT"/>
        </w:rPr>
        <w:t xml:space="preserve">ex </w:t>
      </w:r>
      <w:proofErr w:type="spellStart"/>
      <w:r w:rsidRPr="008B3F4B">
        <w:rPr>
          <w:rFonts w:asciiTheme="minorHAnsi" w:eastAsia="Times New Roman" w:hAnsiTheme="minorHAnsi" w:cstheme="minorHAnsi"/>
          <w:i/>
          <w:iCs/>
          <w:color w:val="3D3B39"/>
          <w:lang w:eastAsia="it-IT"/>
        </w:rPr>
        <w:t>adverso</w:t>
      </w:r>
      <w:proofErr w:type="spellEnd"/>
      <w:r w:rsidRPr="008B3F4B">
        <w:rPr>
          <w:rFonts w:asciiTheme="minorHAnsi" w:eastAsia="Times New Roman" w:hAnsiTheme="minorHAnsi" w:cstheme="minorHAnsi"/>
          <w:color w:val="3D3B39"/>
          <w:lang w:eastAsia="it-IT"/>
        </w:rPr>
        <w:t xml:space="preserve"> e hanno eccepito l’irricevibilità del gravame per tardività ai sensi dell’art. 120, comma 2 bis, del </w:t>
      </w:r>
      <w:proofErr w:type="spellStart"/>
      <w:r w:rsidRPr="008B3F4B">
        <w:rPr>
          <w:rFonts w:asciiTheme="minorHAnsi" w:eastAsia="Times New Roman" w:hAnsiTheme="minorHAnsi" w:cstheme="minorHAnsi"/>
          <w:color w:val="3D3B39"/>
          <w:lang w:eastAsia="it-IT"/>
        </w:rPr>
        <w:t>c.p.a</w:t>
      </w:r>
      <w:proofErr w:type="spellEnd"/>
      <w:r w:rsidRPr="008B3F4B">
        <w:rPr>
          <w:rFonts w:asciiTheme="minorHAnsi" w:eastAsia="Times New Roman" w:hAnsiTheme="minorHAnsi" w:cstheme="minorHAnsi"/>
          <w:color w:val="3D3B39"/>
          <w:lang w:eastAsia="it-IT"/>
        </w:rPr>
        <w:t xml:space="preserve">.; inoltre, hanno proposto ricorso incidentale avverso gli atti di gara, nelle parti in cui non è stato escluso il raggruppamento OMISSIS/OMISSIS/OMISSIS ed è stato attribuito un punteggio eccessivo alla relativa offerta. </w:t>
      </w:r>
      <w:r w:rsidRPr="008B3F4B">
        <w:rPr>
          <w:rFonts w:asciiTheme="minorHAnsi" w:eastAsia="Times New Roman" w:hAnsiTheme="minorHAnsi" w:cstheme="minorHAnsi"/>
          <w:color w:val="3D3B39"/>
          <w:lang w:eastAsia="it-IT"/>
        </w:rPr>
        <w:br/>
        <w:t xml:space="preserve">Resiste in giudizio anche la Regione Campania che si associa all’eccezione di irricevibilità sollevata dalle società </w:t>
      </w:r>
      <w:proofErr w:type="spellStart"/>
      <w:r w:rsidRPr="008B3F4B">
        <w:rPr>
          <w:rFonts w:asciiTheme="minorHAnsi" w:eastAsia="Times New Roman" w:hAnsiTheme="minorHAnsi" w:cstheme="minorHAnsi"/>
          <w:color w:val="3D3B39"/>
          <w:lang w:eastAsia="it-IT"/>
        </w:rPr>
        <w:t>controinteressate</w:t>
      </w:r>
      <w:proofErr w:type="spellEnd"/>
      <w:r w:rsidRPr="008B3F4B">
        <w:rPr>
          <w:rFonts w:asciiTheme="minorHAnsi" w:eastAsia="Times New Roman" w:hAnsiTheme="minorHAnsi" w:cstheme="minorHAnsi"/>
          <w:color w:val="3D3B39"/>
          <w:lang w:eastAsia="it-IT"/>
        </w:rPr>
        <w:t xml:space="preserve"> e, inoltre, oppone l’inammissibilità del ricorso per mancata notifica agli operatori aggiudicatari dei lotti n. 2 e 3 (immediatamente subordinati al </w:t>
      </w:r>
      <w:proofErr w:type="spellStart"/>
      <w:r w:rsidRPr="008B3F4B">
        <w:rPr>
          <w:rFonts w:asciiTheme="minorHAnsi" w:eastAsia="Times New Roman" w:hAnsiTheme="minorHAnsi" w:cstheme="minorHAnsi"/>
          <w:color w:val="3D3B39"/>
          <w:lang w:eastAsia="it-IT"/>
        </w:rPr>
        <w:t>r.t.i</w:t>
      </w:r>
      <w:proofErr w:type="spellEnd"/>
      <w:r w:rsidRPr="008B3F4B">
        <w:rPr>
          <w:rFonts w:asciiTheme="minorHAnsi" w:eastAsia="Times New Roman" w:hAnsiTheme="minorHAnsi" w:cstheme="minorHAnsi"/>
          <w:color w:val="3D3B39"/>
          <w:lang w:eastAsia="it-IT"/>
        </w:rPr>
        <w:t xml:space="preserve">. OMISSIS, primo classificato in tutti i lotti) le cui posizioni, secondo la tesi dell’amministrazione resistente, potrebbero essere incise dall’eventuale accoglimento delle censure proposte avverso la mancata esclusione del </w:t>
      </w:r>
      <w:proofErr w:type="spellStart"/>
      <w:r w:rsidRPr="008B3F4B">
        <w:rPr>
          <w:rFonts w:asciiTheme="minorHAnsi" w:eastAsia="Times New Roman" w:hAnsiTheme="minorHAnsi" w:cstheme="minorHAnsi"/>
          <w:color w:val="3D3B39"/>
          <w:lang w:eastAsia="it-IT"/>
        </w:rPr>
        <w:t>r.t.i</w:t>
      </w:r>
      <w:proofErr w:type="spellEnd"/>
      <w:r w:rsidRPr="008B3F4B">
        <w:rPr>
          <w:rFonts w:asciiTheme="minorHAnsi" w:eastAsia="Times New Roman" w:hAnsiTheme="minorHAnsi" w:cstheme="minorHAnsi"/>
          <w:color w:val="3D3B39"/>
          <w:lang w:eastAsia="it-IT"/>
        </w:rPr>
        <w:t>. aggiudicatario del lotto n. 1, alla luce della previsione di cui all’art. 3 del disciplinare di gara (</w:t>
      </w:r>
      <w:r w:rsidRPr="008B3F4B">
        <w:rPr>
          <w:rFonts w:asciiTheme="minorHAnsi" w:eastAsia="Times New Roman" w:hAnsiTheme="minorHAnsi" w:cstheme="minorHAnsi"/>
          <w:i/>
          <w:iCs/>
          <w:color w:val="3D3B39"/>
          <w:lang w:eastAsia="it-IT"/>
        </w:rPr>
        <w:t xml:space="preserve">“Ciascun concorrente può presentare offerta per tutti i lotti oggetto di gara ai sensi dell’art. 51, comma 2, D. </w:t>
      </w:r>
      <w:proofErr w:type="spellStart"/>
      <w:r w:rsidRPr="008B3F4B">
        <w:rPr>
          <w:rFonts w:asciiTheme="minorHAnsi" w:eastAsia="Times New Roman" w:hAnsiTheme="minorHAnsi" w:cstheme="minorHAnsi"/>
          <w:i/>
          <w:iCs/>
          <w:color w:val="3D3B39"/>
          <w:lang w:eastAsia="it-IT"/>
        </w:rPr>
        <w:t>Lgs</w:t>
      </w:r>
      <w:proofErr w:type="spellEnd"/>
      <w:r w:rsidRPr="008B3F4B">
        <w:rPr>
          <w:rFonts w:asciiTheme="minorHAnsi" w:eastAsia="Times New Roman" w:hAnsiTheme="minorHAnsi" w:cstheme="minorHAnsi"/>
          <w:i/>
          <w:iCs/>
          <w:color w:val="3D3B39"/>
          <w:lang w:eastAsia="it-IT"/>
        </w:rPr>
        <w:t>. n. 50/2016, ma potrà aggiudicarsi un solo lotto ai sensi del successivo comma 3 dell’art. 51 cit.. Nel caso in cui un concorrente risulti primo in graduatoria per più lotti potrà aggiudicarsi, ex art. 51 comma 3 cit., sempre un solo lotto che la stazione appaltante individuerà, considerata l’omogeneità dei medesimi per prestazioni ed importo, applicando il criterio numerico crescente che contraddistingue i lotti oggetto di gara (es.: lotto n. 1 al primo in graduatoria del lotto n. 1, lotto n. 2 al secondo in graduatoria del lotto n. 2, e così via</w:t>
      </w:r>
      <w:r w:rsidRPr="008B3F4B">
        <w:rPr>
          <w:rFonts w:asciiTheme="minorHAnsi" w:eastAsia="Times New Roman" w:hAnsiTheme="minorHAnsi" w:cstheme="minorHAnsi"/>
          <w:color w:val="3D3B39"/>
          <w:lang w:eastAsia="it-IT"/>
        </w:rPr>
        <w:t>)</w:t>
      </w:r>
      <w:r w:rsidRPr="008B3F4B">
        <w:rPr>
          <w:rFonts w:asciiTheme="minorHAnsi" w:eastAsia="Times New Roman" w:hAnsiTheme="minorHAnsi" w:cstheme="minorHAnsi"/>
          <w:i/>
          <w:iCs/>
          <w:color w:val="3D3B39"/>
          <w:lang w:eastAsia="it-IT"/>
        </w:rPr>
        <w:t>”.</w:t>
      </w:r>
      <w:r w:rsidRPr="008B3F4B">
        <w:rPr>
          <w:rFonts w:asciiTheme="minorHAnsi" w:eastAsia="Times New Roman" w:hAnsiTheme="minorHAnsi" w:cstheme="minorHAnsi"/>
          <w:color w:val="3D3B39"/>
          <w:lang w:eastAsia="it-IT"/>
        </w:rPr>
        <w:t xml:space="preserve"> Nel merito, l’amministrazione assume la legittimità dell’azione amministrativa e conclude per il rigetto del ricorso. </w:t>
      </w:r>
      <w:r w:rsidRPr="008B3F4B">
        <w:rPr>
          <w:rFonts w:asciiTheme="minorHAnsi" w:eastAsia="Times New Roman" w:hAnsiTheme="minorHAnsi" w:cstheme="minorHAnsi"/>
          <w:color w:val="3D3B39"/>
          <w:lang w:eastAsia="it-IT"/>
        </w:rPr>
        <w:br/>
        <w:t xml:space="preserve">Con ordinanza presidenziale n. 2273 del 22.11.2018 il T.A.R. ha ordinato l’integrazione del contraddittorio nei confronti delle società aggiudicatarie dei lotti n. 2 e n. 3; l’incombente è stato assolto dalla parte ricorrente. </w:t>
      </w:r>
      <w:r w:rsidRPr="008B3F4B">
        <w:rPr>
          <w:rFonts w:asciiTheme="minorHAnsi" w:eastAsia="Times New Roman" w:hAnsiTheme="minorHAnsi" w:cstheme="minorHAnsi"/>
          <w:color w:val="3D3B39"/>
          <w:lang w:eastAsia="it-IT"/>
        </w:rPr>
        <w:br/>
        <w:t xml:space="preserve">Dopo ulteriore scambio di memorie e deposito di documentazione, all’udienza del 17 aprile 2019 la causa è stata infine trattenuta in decisione. </w:t>
      </w:r>
    </w:p>
    <w:p w:rsidR="008B3F4B" w:rsidRPr="008B3F4B" w:rsidRDefault="008B3F4B" w:rsidP="008B3F4B">
      <w:pPr>
        <w:spacing w:after="265"/>
        <w:jc w:val="center"/>
        <w:rPr>
          <w:rFonts w:asciiTheme="minorHAnsi" w:eastAsia="Times New Roman" w:hAnsiTheme="minorHAnsi" w:cstheme="minorHAnsi"/>
          <w:color w:val="3D3B39"/>
          <w:lang w:eastAsia="it-IT"/>
        </w:rPr>
      </w:pPr>
      <w:r w:rsidRPr="008B3F4B">
        <w:rPr>
          <w:rFonts w:asciiTheme="minorHAnsi" w:eastAsia="Times New Roman" w:hAnsiTheme="minorHAnsi" w:cstheme="minorHAnsi"/>
          <w:b/>
          <w:bCs/>
          <w:color w:val="3D3B39"/>
          <w:lang w:eastAsia="it-IT"/>
        </w:rPr>
        <w:t>DIRITTO</w:t>
      </w:r>
    </w:p>
    <w:p w:rsidR="008B3F4B" w:rsidRPr="008B3F4B" w:rsidRDefault="008B3F4B" w:rsidP="008B3F4B">
      <w:pPr>
        <w:spacing w:after="265"/>
        <w:rPr>
          <w:rFonts w:asciiTheme="minorHAnsi" w:eastAsia="Times New Roman" w:hAnsiTheme="minorHAnsi" w:cstheme="minorHAnsi"/>
          <w:color w:val="3D3B39"/>
          <w:lang w:eastAsia="it-IT"/>
        </w:rPr>
      </w:pPr>
      <w:r w:rsidRPr="008B3F4B">
        <w:rPr>
          <w:rFonts w:asciiTheme="minorHAnsi" w:eastAsia="Times New Roman" w:hAnsiTheme="minorHAnsi" w:cstheme="minorHAnsi"/>
          <w:color w:val="3D3B39"/>
          <w:lang w:eastAsia="it-IT"/>
        </w:rPr>
        <w:t xml:space="preserve">1. Viene in decisione il ricorso proposto dalle società OMISSIS </w:t>
      </w:r>
      <w:proofErr w:type="spellStart"/>
      <w:r w:rsidRPr="008B3F4B">
        <w:rPr>
          <w:rFonts w:asciiTheme="minorHAnsi" w:eastAsia="Times New Roman" w:hAnsiTheme="minorHAnsi" w:cstheme="minorHAnsi"/>
          <w:color w:val="3D3B39"/>
          <w:lang w:eastAsia="it-IT"/>
        </w:rPr>
        <w:t>s.p.a.</w:t>
      </w:r>
      <w:proofErr w:type="spellEnd"/>
      <w:r w:rsidRPr="008B3F4B">
        <w:rPr>
          <w:rFonts w:asciiTheme="minorHAnsi" w:eastAsia="Times New Roman" w:hAnsiTheme="minorHAnsi" w:cstheme="minorHAnsi"/>
          <w:color w:val="3D3B39"/>
          <w:lang w:eastAsia="it-IT"/>
        </w:rPr>
        <w:t xml:space="preserve"> (capogruppo mandataria), OMISSIS s.r.l., OMISSIS s.r.l. (mandanti) avverso il provvedimento di aggiudicazione in favore del raggruppamento </w:t>
      </w:r>
      <w:r w:rsidRPr="008B3F4B">
        <w:rPr>
          <w:rFonts w:asciiTheme="minorHAnsi" w:eastAsia="Times New Roman" w:hAnsiTheme="minorHAnsi" w:cstheme="minorHAnsi"/>
          <w:color w:val="3D3B39"/>
          <w:lang w:eastAsia="it-IT"/>
        </w:rPr>
        <w:lastRenderedPageBreak/>
        <w:t xml:space="preserve">temporaneo di imprese (di seguito </w:t>
      </w:r>
      <w:proofErr w:type="spellStart"/>
      <w:r w:rsidRPr="008B3F4B">
        <w:rPr>
          <w:rFonts w:asciiTheme="minorHAnsi" w:eastAsia="Times New Roman" w:hAnsiTheme="minorHAnsi" w:cstheme="minorHAnsi"/>
          <w:color w:val="3D3B39"/>
          <w:lang w:eastAsia="it-IT"/>
        </w:rPr>
        <w:t>r.t.i</w:t>
      </w:r>
      <w:proofErr w:type="spellEnd"/>
      <w:r w:rsidRPr="008B3F4B">
        <w:rPr>
          <w:rFonts w:asciiTheme="minorHAnsi" w:eastAsia="Times New Roman" w:hAnsiTheme="minorHAnsi" w:cstheme="minorHAnsi"/>
          <w:color w:val="3D3B39"/>
          <w:lang w:eastAsia="it-IT"/>
        </w:rPr>
        <w:t xml:space="preserve">.) tra le società OMISSIS s.r.l., OMISSIS s.r.l., OMISSIS </w:t>
      </w:r>
      <w:proofErr w:type="spellStart"/>
      <w:r w:rsidRPr="008B3F4B">
        <w:rPr>
          <w:rFonts w:asciiTheme="minorHAnsi" w:eastAsia="Times New Roman" w:hAnsiTheme="minorHAnsi" w:cstheme="minorHAnsi"/>
          <w:color w:val="3D3B39"/>
          <w:lang w:eastAsia="it-IT"/>
        </w:rPr>
        <w:t>s.p.a.</w:t>
      </w:r>
      <w:proofErr w:type="spellEnd"/>
      <w:r w:rsidRPr="008B3F4B">
        <w:rPr>
          <w:rFonts w:asciiTheme="minorHAnsi" w:eastAsia="Times New Roman" w:hAnsiTheme="minorHAnsi" w:cstheme="minorHAnsi"/>
          <w:color w:val="3D3B39"/>
          <w:lang w:eastAsia="it-IT"/>
        </w:rPr>
        <w:t xml:space="preserve"> della procedura indetta dalla Regione Campania per la conclusione di un accordo quadro triennale avente ad oggetto l’affidamento di </w:t>
      </w:r>
      <w:r w:rsidRPr="008B3F4B">
        <w:rPr>
          <w:rFonts w:asciiTheme="minorHAnsi" w:eastAsia="Times New Roman" w:hAnsiTheme="minorHAnsi" w:cstheme="minorHAnsi"/>
          <w:i/>
          <w:iCs/>
          <w:color w:val="3D3B39"/>
          <w:lang w:eastAsia="it-IT"/>
        </w:rPr>
        <w:t>“servizi di ingegneria e architettura per gli studi di fattibilità tecnica economica e la progettazione definitiva ed esecutiva di opere di architettura e ingegneria per la realizzazione o la trasformazione e/o ampliamento di Impianti per il trattamento della frazione organica in Regione Campania”</w:t>
      </w:r>
      <w:r w:rsidRPr="008B3F4B">
        <w:rPr>
          <w:rFonts w:asciiTheme="minorHAnsi" w:eastAsia="Times New Roman" w:hAnsiTheme="minorHAnsi" w:cstheme="minorHAnsi"/>
          <w:color w:val="3D3B39"/>
          <w:lang w:eastAsia="it-IT"/>
        </w:rPr>
        <w:t xml:space="preserve">, relativamente al lotto n. 1 (Provincia di Napoli). </w:t>
      </w:r>
      <w:r w:rsidRPr="008B3F4B">
        <w:rPr>
          <w:rFonts w:asciiTheme="minorHAnsi" w:eastAsia="Times New Roman" w:hAnsiTheme="minorHAnsi" w:cstheme="minorHAnsi"/>
          <w:color w:val="3D3B39"/>
          <w:lang w:eastAsia="it-IT"/>
        </w:rPr>
        <w:br/>
        <w:t xml:space="preserve">2. Il ricorso introduttivo è infondato e, quindi, si appalesa superfluo l’esame delle eccezioni in rito sollevate dalle controparti processuali; tanto in applicazione del principio di economia dei mezzi processuali che, secondo consolidata giurisprudenza amministrativa (Consiglio di Stato, Adunanza Plenaria n. 5/2015; Sez. IV, n. 3225/2017 e n. 3225/2017) e di legittimità (Sezioni Unite della Corte di Cassazione n. 26242/2014 e n. 26243/2014), consente di derogare all’ordine delle questioni da esaminare previsto dall’art. 276 </w:t>
      </w:r>
      <w:proofErr w:type="spellStart"/>
      <w:r w:rsidRPr="008B3F4B">
        <w:rPr>
          <w:rFonts w:asciiTheme="minorHAnsi" w:eastAsia="Times New Roman" w:hAnsiTheme="minorHAnsi" w:cstheme="minorHAnsi"/>
          <w:color w:val="3D3B39"/>
          <w:lang w:eastAsia="it-IT"/>
        </w:rPr>
        <w:t>c.p.c.</w:t>
      </w:r>
      <w:proofErr w:type="spellEnd"/>
      <w:r w:rsidRPr="008B3F4B">
        <w:rPr>
          <w:rFonts w:asciiTheme="minorHAnsi" w:eastAsia="Times New Roman" w:hAnsiTheme="minorHAnsi" w:cstheme="minorHAnsi"/>
          <w:color w:val="3D3B39"/>
          <w:lang w:eastAsia="it-IT"/>
        </w:rPr>
        <w:t xml:space="preserve"> privilegiando lo scrutinio della ragione “più liquida” sulla scorta, peraltro, del paradigma sancito dagli artt. 49, comma 2, e 74 del </w:t>
      </w:r>
      <w:proofErr w:type="spellStart"/>
      <w:r w:rsidRPr="008B3F4B">
        <w:rPr>
          <w:rFonts w:asciiTheme="minorHAnsi" w:eastAsia="Times New Roman" w:hAnsiTheme="minorHAnsi" w:cstheme="minorHAnsi"/>
          <w:color w:val="3D3B39"/>
          <w:lang w:eastAsia="it-IT"/>
        </w:rPr>
        <w:t>c.p.a</w:t>
      </w:r>
      <w:proofErr w:type="spellEnd"/>
      <w:r w:rsidRPr="008B3F4B">
        <w:rPr>
          <w:rFonts w:asciiTheme="minorHAnsi" w:eastAsia="Times New Roman" w:hAnsiTheme="minorHAnsi" w:cstheme="minorHAnsi"/>
          <w:color w:val="3D3B39"/>
          <w:lang w:eastAsia="it-IT"/>
        </w:rPr>
        <w:t xml:space="preserve">.. </w:t>
      </w:r>
      <w:r w:rsidRPr="008B3F4B">
        <w:rPr>
          <w:rFonts w:asciiTheme="minorHAnsi" w:eastAsia="Times New Roman" w:hAnsiTheme="minorHAnsi" w:cstheme="minorHAnsi"/>
          <w:color w:val="3D3B39"/>
          <w:lang w:eastAsia="it-IT"/>
        </w:rPr>
        <w:br/>
        <w:t xml:space="preserve">3. Con un primo profilo di illegittimità parte ricorrente lamenta la mancata esclusione del </w:t>
      </w:r>
      <w:proofErr w:type="spellStart"/>
      <w:r w:rsidRPr="008B3F4B">
        <w:rPr>
          <w:rFonts w:asciiTheme="minorHAnsi" w:eastAsia="Times New Roman" w:hAnsiTheme="minorHAnsi" w:cstheme="minorHAnsi"/>
          <w:color w:val="3D3B39"/>
          <w:lang w:eastAsia="it-IT"/>
        </w:rPr>
        <w:t>r.t.i</w:t>
      </w:r>
      <w:proofErr w:type="spellEnd"/>
      <w:r w:rsidRPr="008B3F4B">
        <w:rPr>
          <w:rFonts w:asciiTheme="minorHAnsi" w:eastAsia="Times New Roman" w:hAnsiTheme="minorHAnsi" w:cstheme="minorHAnsi"/>
          <w:color w:val="3D3B39"/>
          <w:lang w:eastAsia="it-IT"/>
        </w:rPr>
        <w:t xml:space="preserve">. aggiudicatario per carenze della documentazione concernente la mandataria OMISSIS s.r.l.. </w:t>
      </w:r>
      <w:r w:rsidRPr="008B3F4B">
        <w:rPr>
          <w:rFonts w:asciiTheme="minorHAnsi" w:eastAsia="Times New Roman" w:hAnsiTheme="minorHAnsi" w:cstheme="minorHAnsi"/>
          <w:color w:val="3D3B39"/>
          <w:lang w:eastAsia="it-IT"/>
        </w:rPr>
        <w:br/>
        <w:t xml:space="preserve">In particolare, sussisterebbe violazione dell’art. 16 del disciplinare, secondo cui ciascun servizio facente parte della relazione tecnica dei servizi (relazione R1) doveva essere corredato dal relativo certificato di esecuzione da parte del committente; ciò in quanto il certificato prodotto dal </w:t>
      </w:r>
      <w:proofErr w:type="spellStart"/>
      <w:r w:rsidRPr="008B3F4B">
        <w:rPr>
          <w:rFonts w:asciiTheme="minorHAnsi" w:eastAsia="Times New Roman" w:hAnsiTheme="minorHAnsi" w:cstheme="minorHAnsi"/>
          <w:color w:val="3D3B39"/>
          <w:lang w:eastAsia="it-IT"/>
        </w:rPr>
        <w:t>r.t.i</w:t>
      </w:r>
      <w:proofErr w:type="spellEnd"/>
      <w:r w:rsidRPr="008B3F4B">
        <w:rPr>
          <w:rFonts w:asciiTheme="minorHAnsi" w:eastAsia="Times New Roman" w:hAnsiTheme="minorHAnsi" w:cstheme="minorHAnsi"/>
          <w:color w:val="3D3B39"/>
          <w:lang w:eastAsia="it-IT"/>
        </w:rPr>
        <w:t>. aggiudicatario relativo all’incarico di </w:t>
      </w:r>
      <w:r w:rsidRPr="008B3F4B">
        <w:rPr>
          <w:rFonts w:asciiTheme="minorHAnsi" w:eastAsia="Times New Roman" w:hAnsiTheme="minorHAnsi" w:cstheme="minorHAnsi"/>
          <w:i/>
          <w:iCs/>
          <w:color w:val="3D3B39"/>
          <w:lang w:eastAsia="it-IT"/>
        </w:rPr>
        <w:t>“</w:t>
      </w:r>
      <w:proofErr w:type="spellStart"/>
      <w:r w:rsidRPr="008B3F4B">
        <w:rPr>
          <w:rFonts w:asciiTheme="minorHAnsi" w:eastAsia="Times New Roman" w:hAnsiTheme="minorHAnsi" w:cstheme="minorHAnsi"/>
          <w:i/>
          <w:iCs/>
          <w:color w:val="3D3B39"/>
          <w:lang w:eastAsia="it-IT"/>
        </w:rPr>
        <w:t>revamping</w:t>
      </w:r>
      <w:proofErr w:type="spellEnd"/>
      <w:r w:rsidRPr="008B3F4B">
        <w:rPr>
          <w:rFonts w:asciiTheme="minorHAnsi" w:eastAsia="Times New Roman" w:hAnsiTheme="minorHAnsi" w:cstheme="minorHAnsi"/>
          <w:i/>
          <w:iCs/>
          <w:color w:val="3D3B39"/>
          <w:lang w:eastAsia="it-IT"/>
        </w:rPr>
        <w:t xml:space="preserve"> e valorizzazione delle sezioni di trattamento meccanico biologico del complesso impiantistico di Ca’ del Bue – Verona per il periodo 2012-2014”</w:t>
      </w:r>
      <w:r w:rsidRPr="008B3F4B">
        <w:rPr>
          <w:rFonts w:asciiTheme="minorHAnsi" w:eastAsia="Times New Roman" w:hAnsiTheme="minorHAnsi" w:cstheme="minorHAnsi"/>
          <w:color w:val="3D3B39"/>
          <w:lang w:eastAsia="it-IT"/>
        </w:rPr>
        <w:t xml:space="preserve">, allegato alla relazione tecnica dei servizi - R1 - è stato rilasciato dalla società P. &amp;W. Progetti per lo Sviluppo s.r.l. che, secondo la ricorrente, non risulterebbe la committente dei detti servizi e, sotto distinto profilo, neppure potrebbe ricoprire la qualità di impresa subappaltatrice della società affidataria ai sensi dell’art. 105, comma 19, del </w:t>
      </w:r>
      <w:proofErr w:type="spellStart"/>
      <w:r w:rsidRPr="008B3F4B">
        <w:rPr>
          <w:rFonts w:asciiTheme="minorHAnsi" w:eastAsia="Times New Roman" w:hAnsiTheme="minorHAnsi" w:cstheme="minorHAnsi"/>
          <w:color w:val="3D3B39"/>
          <w:lang w:eastAsia="it-IT"/>
        </w:rPr>
        <w:t>D.Lgs.</w:t>
      </w:r>
      <w:proofErr w:type="spellEnd"/>
      <w:r w:rsidRPr="008B3F4B">
        <w:rPr>
          <w:rFonts w:asciiTheme="minorHAnsi" w:eastAsia="Times New Roman" w:hAnsiTheme="minorHAnsi" w:cstheme="minorHAnsi"/>
          <w:color w:val="3D3B39"/>
          <w:lang w:eastAsia="it-IT"/>
        </w:rPr>
        <w:t xml:space="preserve"> n. 50/2016. </w:t>
      </w:r>
      <w:r w:rsidRPr="008B3F4B">
        <w:rPr>
          <w:rFonts w:asciiTheme="minorHAnsi" w:eastAsia="Times New Roman" w:hAnsiTheme="minorHAnsi" w:cstheme="minorHAnsi"/>
          <w:color w:val="3D3B39"/>
          <w:lang w:eastAsia="it-IT"/>
        </w:rPr>
        <w:br/>
        <w:t xml:space="preserve">La censura non ha pregio. </w:t>
      </w:r>
      <w:r w:rsidRPr="008B3F4B">
        <w:rPr>
          <w:rFonts w:asciiTheme="minorHAnsi" w:eastAsia="Times New Roman" w:hAnsiTheme="minorHAnsi" w:cstheme="minorHAnsi"/>
          <w:color w:val="3D3B39"/>
          <w:lang w:eastAsia="it-IT"/>
        </w:rPr>
        <w:br/>
        <w:t>L’art. 16 del disciplinare di gara prescriveva che, all’interno della busta B (offerta tecnico – organizzativa), dovesse essere inserita a pena di esclusione una relazione tecnica dei servizi offerti contenente anche una descrizione dei servizi di progettazione definitiva ed esecutiva realizzati nell’ultimo decennio significativi della propria capacità tecnica di realizzare la prestazione sotto il profilo tecnico, architettonico, strutturale, impiantistico e ambientale aggiungendo, per quanto rileva nel presente giudizio, che </w:t>
      </w:r>
      <w:r w:rsidRPr="008B3F4B">
        <w:rPr>
          <w:rFonts w:asciiTheme="minorHAnsi" w:eastAsia="Times New Roman" w:hAnsiTheme="minorHAnsi" w:cstheme="minorHAnsi"/>
          <w:i/>
          <w:iCs/>
          <w:color w:val="3D3B39"/>
          <w:lang w:eastAsia="it-IT"/>
        </w:rPr>
        <w:t>“ciascun servizio presentato dovrà essere corredato di relativo certificato di esecuzione del servizio da parte del committente”.</w:t>
      </w:r>
      <w:r w:rsidRPr="008B3F4B">
        <w:rPr>
          <w:rFonts w:asciiTheme="minorHAnsi" w:eastAsia="Times New Roman" w:hAnsiTheme="minorHAnsi" w:cstheme="minorHAnsi"/>
          <w:color w:val="3D3B39"/>
          <w:lang w:eastAsia="it-IT"/>
        </w:rPr>
        <w:t xml:space="preserve"> </w:t>
      </w:r>
      <w:r w:rsidRPr="008B3F4B">
        <w:rPr>
          <w:rFonts w:asciiTheme="minorHAnsi" w:eastAsia="Times New Roman" w:hAnsiTheme="minorHAnsi" w:cstheme="minorHAnsi"/>
          <w:color w:val="3D3B39"/>
          <w:lang w:eastAsia="it-IT"/>
        </w:rPr>
        <w:br/>
        <w:t xml:space="preserve">Ebbene, tale essendo la formulazione della disposizione, a tale incombente ha adempito il </w:t>
      </w:r>
      <w:proofErr w:type="spellStart"/>
      <w:r w:rsidRPr="008B3F4B">
        <w:rPr>
          <w:rFonts w:asciiTheme="minorHAnsi" w:eastAsia="Times New Roman" w:hAnsiTheme="minorHAnsi" w:cstheme="minorHAnsi"/>
          <w:color w:val="3D3B39"/>
          <w:lang w:eastAsia="it-IT"/>
        </w:rPr>
        <w:t>r.t.i</w:t>
      </w:r>
      <w:proofErr w:type="spellEnd"/>
      <w:r w:rsidRPr="008B3F4B">
        <w:rPr>
          <w:rFonts w:asciiTheme="minorHAnsi" w:eastAsia="Times New Roman" w:hAnsiTheme="minorHAnsi" w:cstheme="minorHAnsi"/>
          <w:color w:val="3D3B39"/>
          <w:lang w:eastAsia="it-IT"/>
        </w:rPr>
        <w:t xml:space="preserve">. aggiudicatario che ha prodotto il certificato di esecuzione richiesto dalla disciplina di gara sul quale la commissione ha fondato legittimamente le proprie valutazioni in ordine all’offerta tecnica; nel caso specifico il ruolo di committente (privato) è stato rivestito dalla P. &amp; W. s.r.l. e non vi è ragione di dubitare che il servizio sia stato effettivamente svolto dalla società OMISSIS s.r.l., considerato anche che risultano prodotte agli atti del giudizio: 1) documentazione progettuale a corredo della richiesta di Autorizzazione Ambientale Integrata che reca in calce il timbro della società OMISSIS s.r.l. alla quale, pertanto, è riferibile il servizio; 2) deliberazione della Giunta Regionale del Veneto n. 1143 del 12 luglio 2016 recante approvazione della richiesta di Autorizzazione Ambientale Integrata ex </w:t>
      </w:r>
      <w:proofErr w:type="spellStart"/>
      <w:r w:rsidRPr="008B3F4B">
        <w:rPr>
          <w:rFonts w:asciiTheme="minorHAnsi" w:eastAsia="Times New Roman" w:hAnsiTheme="minorHAnsi" w:cstheme="minorHAnsi"/>
          <w:color w:val="3D3B39"/>
          <w:lang w:eastAsia="it-IT"/>
        </w:rPr>
        <w:t>D.Lgs.</w:t>
      </w:r>
      <w:proofErr w:type="spellEnd"/>
      <w:r w:rsidRPr="008B3F4B">
        <w:rPr>
          <w:rFonts w:asciiTheme="minorHAnsi" w:eastAsia="Times New Roman" w:hAnsiTheme="minorHAnsi" w:cstheme="minorHAnsi"/>
          <w:color w:val="3D3B39"/>
          <w:lang w:eastAsia="it-IT"/>
        </w:rPr>
        <w:t xml:space="preserve"> n. 152/2006 riferita al citato progetto di </w:t>
      </w:r>
      <w:r w:rsidRPr="008B3F4B">
        <w:rPr>
          <w:rFonts w:asciiTheme="minorHAnsi" w:eastAsia="Times New Roman" w:hAnsiTheme="minorHAnsi" w:cstheme="minorHAnsi"/>
          <w:i/>
          <w:iCs/>
          <w:color w:val="3D3B39"/>
          <w:lang w:eastAsia="it-IT"/>
        </w:rPr>
        <w:t>“</w:t>
      </w:r>
      <w:proofErr w:type="spellStart"/>
      <w:r w:rsidRPr="008B3F4B">
        <w:rPr>
          <w:rFonts w:asciiTheme="minorHAnsi" w:eastAsia="Times New Roman" w:hAnsiTheme="minorHAnsi" w:cstheme="minorHAnsi"/>
          <w:i/>
          <w:iCs/>
          <w:color w:val="3D3B39"/>
          <w:lang w:eastAsia="it-IT"/>
        </w:rPr>
        <w:t>revamping</w:t>
      </w:r>
      <w:proofErr w:type="spellEnd"/>
      <w:r w:rsidRPr="008B3F4B">
        <w:rPr>
          <w:rFonts w:asciiTheme="minorHAnsi" w:eastAsia="Times New Roman" w:hAnsiTheme="minorHAnsi" w:cstheme="minorHAnsi"/>
          <w:i/>
          <w:iCs/>
          <w:color w:val="3D3B39"/>
          <w:lang w:eastAsia="it-IT"/>
        </w:rPr>
        <w:t xml:space="preserve"> e valorizzazione delle sezioni di trattamento meccanico biologico del complesso impiantistico di Ca’ del Bue” </w:t>
      </w:r>
      <w:r w:rsidRPr="008B3F4B">
        <w:rPr>
          <w:rFonts w:asciiTheme="minorHAnsi" w:eastAsia="Times New Roman" w:hAnsiTheme="minorHAnsi" w:cstheme="minorHAnsi"/>
          <w:color w:val="3D3B39"/>
          <w:lang w:eastAsia="it-IT"/>
        </w:rPr>
        <w:t>che, pertanto, comprova l’esecuzione del servizio medesimo (cfr. documenti depositati da OMISSIS s.r.l. in data 18.11.2018)</w:t>
      </w:r>
      <w:r w:rsidRPr="008B3F4B">
        <w:rPr>
          <w:rFonts w:asciiTheme="minorHAnsi" w:eastAsia="Times New Roman" w:hAnsiTheme="minorHAnsi" w:cstheme="minorHAnsi"/>
          <w:i/>
          <w:iCs/>
          <w:color w:val="3D3B39"/>
          <w:lang w:eastAsia="it-IT"/>
        </w:rPr>
        <w:t>.</w:t>
      </w:r>
      <w:r w:rsidRPr="008B3F4B">
        <w:rPr>
          <w:rFonts w:asciiTheme="minorHAnsi" w:eastAsia="Times New Roman" w:hAnsiTheme="minorHAnsi" w:cstheme="minorHAnsi"/>
          <w:color w:val="3D3B39"/>
          <w:lang w:eastAsia="it-IT"/>
        </w:rPr>
        <w:t xml:space="preserve"> </w:t>
      </w:r>
      <w:r w:rsidRPr="008B3F4B">
        <w:rPr>
          <w:rFonts w:asciiTheme="minorHAnsi" w:eastAsia="Times New Roman" w:hAnsiTheme="minorHAnsi" w:cstheme="minorHAnsi"/>
          <w:color w:val="3D3B39"/>
          <w:lang w:eastAsia="it-IT"/>
        </w:rPr>
        <w:br/>
        <w:t xml:space="preserve">In altri termini, ai fini della valutazione dei servizi dichiarati occorreva unicamente allegare il richiamato certificato di esecuzione (adempimento ritualmente svolto dal </w:t>
      </w:r>
      <w:proofErr w:type="spellStart"/>
      <w:r w:rsidRPr="008B3F4B">
        <w:rPr>
          <w:rFonts w:asciiTheme="minorHAnsi" w:eastAsia="Times New Roman" w:hAnsiTheme="minorHAnsi" w:cstheme="minorHAnsi"/>
          <w:color w:val="3D3B39"/>
          <w:lang w:eastAsia="it-IT"/>
        </w:rPr>
        <w:t>r.t.i</w:t>
      </w:r>
      <w:proofErr w:type="spellEnd"/>
      <w:r w:rsidRPr="008B3F4B">
        <w:rPr>
          <w:rFonts w:asciiTheme="minorHAnsi" w:eastAsia="Times New Roman" w:hAnsiTheme="minorHAnsi" w:cstheme="minorHAnsi"/>
          <w:color w:val="3D3B39"/>
          <w:lang w:eastAsia="it-IT"/>
        </w:rPr>
        <w:t xml:space="preserve">. aggiudicatario) oggetto di valutazione da parte della commissione di gara, senza che possa rilevare la questione relativa alla presunta illegittimità dell’incarico di progettazione che, invero, esula dall’oggetto del giudizio. </w:t>
      </w:r>
      <w:r w:rsidRPr="008B3F4B">
        <w:rPr>
          <w:rFonts w:asciiTheme="minorHAnsi" w:eastAsia="Times New Roman" w:hAnsiTheme="minorHAnsi" w:cstheme="minorHAnsi"/>
          <w:color w:val="3D3B39"/>
          <w:lang w:eastAsia="it-IT"/>
        </w:rPr>
        <w:br/>
        <w:t>Non può poi dubitarsi in ordine all’ammissibilità della documentazione rilasciata da committenti privati, visto che il disciplinare di gara non prevedeva che tale certificato di esecuzione dovesse essere rilasciato esclusivamente da amministrazioni pubbliche, mentre il mancato inserimento del servizio in questione nel DGUE (Sez. C - </w:t>
      </w:r>
      <w:r w:rsidRPr="008B3F4B">
        <w:rPr>
          <w:rFonts w:asciiTheme="minorHAnsi" w:eastAsia="Times New Roman" w:hAnsiTheme="minorHAnsi" w:cstheme="minorHAnsi"/>
          <w:i/>
          <w:iCs/>
          <w:color w:val="3D3B39"/>
          <w:lang w:eastAsia="it-IT"/>
        </w:rPr>
        <w:t>“capacità tecniche e professionali”</w:t>
      </w:r>
      <w:r w:rsidRPr="008B3F4B">
        <w:rPr>
          <w:rFonts w:asciiTheme="minorHAnsi" w:eastAsia="Times New Roman" w:hAnsiTheme="minorHAnsi" w:cstheme="minorHAnsi"/>
          <w:color w:val="3D3B39"/>
          <w:lang w:eastAsia="it-IT"/>
        </w:rPr>
        <w:t xml:space="preserve">) può essere spiegato non con il mancato svolgimento dell’attività, bensì con la circostanza che in quel documento andavano inserite unicamente le commesse affidate da enti pubblici. </w:t>
      </w:r>
      <w:r w:rsidRPr="008B3F4B">
        <w:rPr>
          <w:rFonts w:asciiTheme="minorHAnsi" w:eastAsia="Times New Roman" w:hAnsiTheme="minorHAnsi" w:cstheme="minorHAnsi"/>
          <w:color w:val="3D3B39"/>
          <w:lang w:eastAsia="it-IT"/>
        </w:rPr>
        <w:br/>
      </w:r>
      <w:r w:rsidRPr="008B3F4B">
        <w:rPr>
          <w:rFonts w:asciiTheme="minorHAnsi" w:eastAsia="Times New Roman" w:hAnsiTheme="minorHAnsi" w:cstheme="minorHAnsi"/>
          <w:color w:val="3D3B39"/>
          <w:lang w:eastAsia="it-IT"/>
        </w:rPr>
        <w:lastRenderedPageBreak/>
        <w:t xml:space="preserve">4. Con un ulteriore profilo di illegittimità le ricorrenti evidenziano che la dichiarazione di accettazione del protocollo di legalità di cui all’allegato 5 del disciplinare è stata redatta dal </w:t>
      </w:r>
      <w:proofErr w:type="spellStart"/>
      <w:r w:rsidRPr="008B3F4B">
        <w:rPr>
          <w:rFonts w:asciiTheme="minorHAnsi" w:eastAsia="Times New Roman" w:hAnsiTheme="minorHAnsi" w:cstheme="minorHAnsi"/>
          <w:color w:val="3D3B39"/>
          <w:lang w:eastAsia="it-IT"/>
        </w:rPr>
        <w:t>r.t.i</w:t>
      </w:r>
      <w:proofErr w:type="spellEnd"/>
      <w:r w:rsidRPr="008B3F4B">
        <w:rPr>
          <w:rFonts w:asciiTheme="minorHAnsi" w:eastAsia="Times New Roman" w:hAnsiTheme="minorHAnsi" w:cstheme="minorHAnsi"/>
          <w:color w:val="3D3B39"/>
          <w:lang w:eastAsia="it-IT"/>
        </w:rPr>
        <w:t>. controinteressato in data 24 febbraio 2018 quindi oltre il termine previsto dal disciplinare per la presentazione della domanda (6 febbraio 2018) con conseguente operatività della causa di esclusione prevista dal disciplinare di gara ai sensi dell’art. 1, comma 17, della L. n. 190/2012 (</w:t>
      </w:r>
      <w:r w:rsidRPr="008B3F4B">
        <w:rPr>
          <w:rFonts w:asciiTheme="minorHAnsi" w:eastAsia="Times New Roman" w:hAnsiTheme="minorHAnsi" w:cstheme="minorHAnsi"/>
          <w:i/>
          <w:iCs/>
          <w:color w:val="3D3B39"/>
          <w:lang w:eastAsia="it-IT"/>
        </w:rPr>
        <w:t>“Le stazioni appaltanti possono prevedere negli avvisi, bandi di gara o lettere di invito che il mancato rispetto delle clausole contenute nei protocolli di legalità o nei patti di integrità costituisce causa di esclusione dalla gara”</w:t>
      </w:r>
      <w:r w:rsidRPr="008B3F4B">
        <w:rPr>
          <w:rFonts w:asciiTheme="minorHAnsi" w:eastAsia="Times New Roman" w:hAnsiTheme="minorHAnsi" w:cstheme="minorHAnsi"/>
          <w:color w:val="3D3B39"/>
          <w:lang w:eastAsia="it-IT"/>
        </w:rPr>
        <w:t xml:space="preserve">). </w:t>
      </w:r>
      <w:r w:rsidRPr="008B3F4B">
        <w:rPr>
          <w:rFonts w:asciiTheme="minorHAnsi" w:eastAsia="Times New Roman" w:hAnsiTheme="minorHAnsi" w:cstheme="minorHAnsi"/>
          <w:color w:val="3D3B39"/>
          <w:lang w:eastAsia="it-IT"/>
        </w:rPr>
        <w:br/>
        <w:t xml:space="preserve">L’argomentazione è infondata. </w:t>
      </w:r>
      <w:r w:rsidRPr="008B3F4B">
        <w:rPr>
          <w:rFonts w:asciiTheme="minorHAnsi" w:eastAsia="Times New Roman" w:hAnsiTheme="minorHAnsi" w:cstheme="minorHAnsi"/>
          <w:color w:val="3D3B39"/>
          <w:lang w:eastAsia="it-IT"/>
        </w:rPr>
        <w:br/>
        <w:t>Dall’esame della documentazione prodotta in giudizio da OMISSIS s.r.l. in data 16.11.2018 (pag. 36) risulta che in data 24.1.2018 la società ha reso espressa dichiarazione di accettazione del protocollo di legalità siglato tra il Prefetto della Provincia di Napoli e la Regione Campania, introducendola nella busta “A” depositata entro il termine previsto dalla disciplina di gara; tanto basta per respingere la censura, poiché detta dichiarazione soddisfa la prescrizione posta dal disciplinare di gara (cfr. art. 6:</w:t>
      </w:r>
      <w:r w:rsidRPr="008B3F4B">
        <w:rPr>
          <w:rFonts w:asciiTheme="minorHAnsi" w:eastAsia="Times New Roman" w:hAnsiTheme="minorHAnsi" w:cstheme="minorHAnsi"/>
          <w:i/>
          <w:iCs/>
          <w:color w:val="3D3B39"/>
          <w:lang w:eastAsia="it-IT"/>
        </w:rPr>
        <w:t> “La mancata accettazione delle clausole contenute nel protocollo di legalità costituisce causa di esclusione dalla gara, ai sensi dell’art. 1, comma 17 della Legge 190/2012”</w:t>
      </w:r>
      <w:r w:rsidRPr="008B3F4B">
        <w:rPr>
          <w:rFonts w:asciiTheme="minorHAnsi" w:eastAsia="Times New Roman" w:hAnsiTheme="minorHAnsi" w:cstheme="minorHAnsi"/>
          <w:color w:val="3D3B39"/>
          <w:lang w:eastAsia="it-IT"/>
        </w:rPr>
        <w:t xml:space="preserve">) senza che rilevi la diversa data apposta in calce al modulo di cui all’allegato 5 che, secondo la prospettazione della società </w:t>
      </w:r>
      <w:proofErr w:type="spellStart"/>
      <w:r w:rsidRPr="008B3F4B">
        <w:rPr>
          <w:rFonts w:asciiTheme="minorHAnsi" w:eastAsia="Times New Roman" w:hAnsiTheme="minorHAnsi" w:cstheme="minorHAnsi"/>
          <w:color w:val="3D3B39"/>
          <w:lang w:eastAsia="it-IT"/>
        </w:rPr>
        <w:t>controinteressata</w:t>
      </w:r>
      <w:proofErr w:type="spellEnd"/>
      <w:r w:rsidRPr="008B3F4B">
        <w:rPr>
          <w:rFonts w:asciiTheme="minorHAnsi" w:eastAsia="Times New Roman" w:hAnsiTheme="minorHAnsi" w:cstheme="minorHAnsi"/>
          <w:color w:val="3D3B39"/>
          <w:lang w:eastAsia="it-IT"/>
        </w:rPr>
        <w:t xml:space="preserve">, sarebbe dipesa da mero errore materiale nella indicazione del mese (24 febbraio 2018 anziché 24 gennaio 2018). </w:t>
      </w:r>
      <w:r w:rsidRPr="008B3F4B">
        <w:rPr>
          <w:rFonts w:asciiTheme="minorHAnsi" w:eastAsia="Times New Roman" w:hAnsiTheme="minorHAnsi" w:cstheme="minorHAnsi"/>
          <w:color w:val="3D3B39"/>
          <w:lang w:eastAsia="it-IT"/>
        </w:rPr>
        <w:br/>
        <w:t xml:space="preserve">5. Sono destituite di giuridico fondamento le deduzioni con cui parte ricorrente invoca l’esclusione del </w:t>
      </w:r>
      <w:proofErr w:type="spellStart"/>
      <w:r w:rsidRPr="008B3F4B">
        <w:rPr>
          <w:rFonts w:asciiTheme="minorHAnsi" w:eastAsia="Times New Roman" w:hAnsiTheme="minorHAnsi" w:cstheme="minorHAnsi"/>
          <w:color w:val="3D3B39"/>
          <w:lang w:eastAsia="it-IT"/>
        </w:rPr>
        <w:t>r.t.i</w:t>
      </w:r>
      <w:proofErr w:type="spellEnd"/>
      <w:r w:rsidRPr="008B3F4B">
        <w:rPr>
          <w:rFonts w:asciiTheme="minorHAnsi" w:eastAsia="Times New Roman" w:hAnsiTheme="minorHAnsi" w:cstheme="minorHAnsi"/>
          <w:color w:val="3D3B39"/>
          <w:lang w:eastAsia="it-IT"/>
        </w:rPr>
        <w:t xml:space="preserve">. a causa di carenze riscontrate nel DGUE prodotto dalla società Quantica, mandante del raggruppamento aggiudicatario, in relazione alla omessa compilazione per tutti gli amministratori in carica, alla carenza di informazioni riferite alle “capacità tecniche e professionali” (classi e categorie dei lavori) e delle ragioni per cui l’impresa non è in possesso di certificati relativi a sistemi di garanzia della qualità e del rispetto delle norme di gestione ambientale. </w:t>
      </w:r>
      <w:r w:rsidRPr="008B3F4B">
        <w:rPr>
          <w:rFonts w:asciiTheme="minorHAnsi" w:eastAsia="Times New Roman" w:hAnsiTheme="minorHAnsi" w:cstheme="minorHAnsi"/>
          <w:color w:val="3D3B39"/>
          <w:lang w:eastAsia="it-IT"/>
        </w:rPr>
        <w:br/>
        <w:t xml:space="preserve">In senso contrario, rileva il Collegio che tali carenze non avrebbero potuto condurre alla estromissione dalla procedura concorsuale, trattandosi di profili certamente emendabili mediante soccorso istruttorio ai sensi dell’art. 13 del disciplinare di gara e dell’art. 83, comma 9, del </w:t>
      </w:r>
      <w:proofErr w:type="spellStart"/>
      <w:r w:rsidRPr="008B3F4B">
        <w:rPr>
          <w:rFonts w:asciiTheme="minorHAnsi" w:eastAsia="Times New Roman" w:hAnsiTheme="minorHAnsi" w:cstheme="minorHAnsi"/>
          <w:color w:val="3D3B39"/>
          <w:lang w:eastAsia="it-IT"/>
        </w:rPr>
        <w:t>D.Lgs.</w:t>
      </w:r>
      <w:proofErr w:type="spellEnd"/>
      <w:r w:rsidRPr="008B3F4B">
        <w:rPr>
          <w:rFonts w:asciiTheme="minorHAnsi" w:eastAsia="Times New Roman" w:hAnsiTheme="minorHAnsi" w:cstheme="minorHAnsi"/>
          <w:color w:val="3D3B39"/>
          <w:lang w:eastAsia="it-IT"/>
        </w:rPr>
        <w:t xml:space="preserve"> n. 50/2016 (</w:t>
      </w:r>
      <w:r w:rsidRPr="008B3F4B">
        <w:rPr>
          <w:rFonts w:asciiTheme="minorHAnsi" w:eastAsia="Times New Roman" w:hAnsiTheme="minorHAnsi" w:cstheme="minorHAnsi"/>
          <w:i/>
          <w:iCs/>
          <w:color w:val="3D3B39"/>
          <w:lang w:eastAsia="it-IT"/>
        </w:rPr>
        <w:t>“Le carenze di qualsiasi elemento formale della domanda possono essere sanate attraverso la procedura di soccorso istruttorio di cui al presente comma. In particolare, in caso di mancanza, incompletezza e di ogni altra irregolarità essenziale degli elementi e del documento di gara unico europeo di cui all'articolo 85, con esclusione di quelle afferenti all'offerta economica e all'offerta tecnica”</w:t>
      </w:r>
      <w:r w:rsidRPr="008B3F4B">
        <w:rPr>
          <w:rFonts w:asciiTheme="minorHAnsi" w:eastAsia="Times New Roman" w:hAnsiTheme="minorHAnsi" w:cstheme="minorHAnsi"/>
          <w:color w:val="3D3B39"/>
          <w:lang w:eastAsia="it-IT"/>
        </w:rPr>
        <w:t xml:space="preserve">). </w:t>
      </w:r>
      <w:r w:rsidRPr="008B3F4B">
        <w:rPr>
          <w:rFonts w:asciiTheme="minorHAnsi" w:eastAsia="Times New Roman" w:hAnsiTheme="minorHAnsi" w:cstheme="minorHAnsi"/>
          <w:color w:val="3D3B39"/>
          <w:lang w:eastAsia="it-IT"/>
        </w:rPr>
        <w:br/>
        <w:t xml:space="preserve">6. Con un ulteriore ordine di rilievi, le società ricorrenti contestano l’illogicità ed irragionevolezza del punteggio conseguito dal </w:t>
      </w:r>
      <w:proofErr w:type="spellStart"/>
      <w:r w:rsidRPr="008B3F4B">
        <w:rPr>
          <w:rFonts w:asciiTheme="minorHAnsi" w:eastAsia="Times New Roman" w:hAnsiTheme="minorHAnsi" w:cstheme="minorHAnsi"/>
          <w:color w:val="3D3B39"/>
          <w:lang w:eastAsia="it-IT"/>
        </w:rPr>
        <w:t>r.t.i</w:t>
      </w:r>
      <w:proofErr w:type="spellEnd"/>
      <w:r w:rsidRPr="008B3F4B">
        <w:rPr>
          <w:rFonts w:asciiTheme="minorHAnsi" w:eastAsia="Times New Roman" w:hAnsiTheme="minorHAnsi" w:cstheme="minorHAnsi"/>
          <w:color w:val="3D3B39"/>
          <w:lang w:eastAsia="it-IT"/>
        </w:rPr>
        <w:t>. aggiudicatario in relazione all’offerta tecnica. Nel dettaglio, le istanti aspirano ad una riparametrazione al fine di superare il distacco di 4,077 punti con la prima graduata e, a tale scopo, ritengono che il miglior punteggio tecnico conseguito dall’</w:t>
      </w:r>
      <w:proofErr w:type="spellStart"/>
      <w:r w:rsidRPr="008B3F4B">
        <w:rPr>
          <w:rFonts w:asciiTheme="minorHAnsi" w:eastAsia="Times New Roman" w:hAnsiTheme="minorHAnsi" w:cstheme="minorHAnsi"/>
          <w:color w:val="3D3B39"/>
          <w:lang w:eastAsia="it-IT"/>
        </w:rPr>
        <w:t>a.t.i</w:t>
      </w:r>
      <w:proofErr w:type="spellEnd"/>
      <w:r w:rsidRPr="008B3F4B">
        <w:rPr>
          <w:rFonts w:asciiTheme="minorHAnsi" w:eastAsia="Times New Roman" w:hAnsiTheme="minorHAnsi" w:cstheme="minorHAnsi"/>
          <w:color w:val="3D3B39"/>
          <w:lang w:eastAsia="it-IT"/>
        </w:rPr>
        <w:t xml:space="preserve">. ricorrente pari a soli 0,12 punti in più rispetto a quello del </w:t>
      </w:r>
      <w:proofErr w:type="spellStart"/>
      <w:r w:rsidRPr="008B3F4B">
        <w:rPr>
          <w:rFonts w:asciiTheme="minorHAnsi" w:eastAsia="Times New Roman" w:hAnsiTheme="minorHAnsi" w:cstheme="minorHAnsi"/>
          <w:color w:val="3D3B39"/>
          <w:lang w:eastAsia="it-IT"/>
        </w:rPr>
        <w:t>r.t.i</w:t>
      </w:r>
      <w:proofErr w:type="spellEnd"/>
      <w:r w:rsidRPr="008B3F4B">
        <w:rPr>
          <w:rFonts w:asciiTheme="minorHAnsi" w:eastAsia="Times New Roman" w:hAnsiTheme="minorHAnsi" w:cstheme="minorHAnsi"/>
          <w:color w:val="3D3B39"/>
          <w:lang w:eastAsia="it-IT"/>
        </w:rPr>
        <w:t xml:space="preserve">. OMISSIS non rispecchierebbe la presunta differenza in termini qualitativi tra le due offerte. </w:t>
      </w:r>
      <w:r w:rsidRPr="008B3F4B">
        <w:rPr>
          <w:rFonts w:asciiTheme="minorHAnsi" w:eastAsia="Times New Roman" w:hAnsiTheme="minorHAnsi" w:cstheme="minorHAnsi"/>
          <w:color w:val="3D3B39"/>
          <w:lang w:eastAsia="it-IT"/>
        </w:rPr>
        <w:br/>
        <w:t xml:space="preserve">I rilievi non colgono nel segno. </w:t>
      </w:r>
      <w:r w:rsidRPr="008B3F4B">
        <w:rPr>
          <w:rFonts w:asciiTheme="minorHAnsi" w:eastAsia="Times New Roman" w:hAnsiTheme="minorHAnsi" w:cstheme="minorHAnsi"/>
          <w:color w:val="3D3B39"/>
          <w:lang w:eastAsia="it-IT"/>
        </w:rPr>
        <w:br/>
        <w:t>Va rammentato che, per giurisprudenza consolidata (</w:t>
      </w:r>
      <w:r w:rsidRPr="008B3F4B">
        <w:rPr>
          <w:rFonts w:asciiTheme="minorHAnsi" w:eastAsia="Times New Roman" w:hAnsiTheme="minorHAnsi" w:cstheme="minorHAnsi"/>
          <w:i/>
          <w:iCs/>
          <w:color w:val="3D3B39"/>
          <w:lang w:eastAsia="it-IT"/>
        </w:rPr>
        <w:t xml:space="preserve">ex </w:t>
      </w:r>
      <w:proofErr w:type="spellStart"/>
      <w:r w:rsidRPr="008B3F4B">
        <w:rPr>
          <w:rFonts w:asciiTheme="minorHAnsi" w:eastAsia="Times New Roman" w:hAnsiTheme="minorHAnsi" w:cstheme="minorHAnsi"/>
          <w:i/>
          <w:iCs/>
          <w:color w:val="3D3B39"/>
          <w:lang w:eastAsia="it-IT"/>
        </w:rPr>
        <w:t>multis</w:t>
      </w:r>
      <w:proofErr w:type="spellEnd"/>
      <w:r w:rsidRPr="008B3F4B">
        <w:rPr>
          <w:rFonts w:asciiTheme="minorHAnsi" w:eastAsia="Times New Roman" w:hAnsiTheme="minorHAnsi" w:cstheme="minorHAnsi"/>
          <w:i/>
          <w:iCs/>
          <w:color w:val="3D3B39"/>
          <w:lang w:eastAsia="it-IT"/>
        </w:rPr>
        <w:t>, </w:t>
      </w:r>
      <w:r w:rsidRPr="008B3F4B">
        <w:rPr>
          <w:rFonts w:asciiTheme="minorHAnsi" w:eastAsia="Times New Roman" w:hAnsiTheme="minorHAnsi" w:cstheme="minorHAnsi"/>
          <w:color w:val="3D3B39"/>
          <w:lang w:eastAsia="it-IT"/>
        </w:rPr>
        <w:t xml:space="preserve">Consiglio di Stato, Sez. V, n. 433/2019), nelle gare di appalto che prevedono il criterio dell'offerta economicamente più vantaggiosa, la valutazione delle offerte tecniche costituisce espressione di un'ampia discrezionalità tecnica, con conseguente insindacabilità nel merito delle valutazioni e dei punteggi attribuiti dalla commissione giudicatrice, ove non inficiate da macroscopici errori di fatto, da illogicità o da irragionevolezza manifesta. </w:t>
      </w:r>
      <w:r w:rsidRPr="008B3F4B">
        <w:rPr>
          <w:rFonts w:asciiTheme="minorHAnsi" w:eastAsia="Times New Roman" w:hAnsiTheme="minorHAnsi" w:cstheme="minorHAnsi"/>
          <w:color w:val="3D3B39"/>
          <w:lang w:eastAsia="it-IT"/>
        </w:rPr>
        <w:br/>
        <w:t xml:space="preserve">A tale considerazione va poi aggiunto che, nel caso specifico, le ricorrenti affidano il ragionamento a confronti operati su griglie parametrate alla propria offerta che, pur richiamando i profili previsti dal disciplinare, sono state poi ulteriormente disaggregate e liberamente scelte, senza alcun aggancio a </w:t>
      </w:r>
      <w:proofErr w:type="spellStart"/>
      <w:r w:rsidRPr="008B3F4B">
        <w:rPr>
          <w:rFonts w:asciiTheme="minorHAnsi" w:eastAsia="Times New Roman" w:hAnsiTheme="minorHAnsi" w:cstheme="minorHAnsi"/>
          <w:color w:val="3D3B39"/>
          <w:lang w:eastAsia="it-IT"/>
        </w:rPr>
        <w:t>subparametri</w:t>
      </w:r>
      <w:proofErr w:type="spellEnd"/>
      <w:r w:rsidRPr="008B3F4B">
        <w:rPr>
          <w:rFonts w:asciiTheme="minorHAnsi" w:eastAsia="Times New Roman" w:hAnsiTheme="minorHAnsi" w:cstheme="minorHAnsi"/>
          <w:color w:val="3D3B39"/>
          <w:lang w:eastAsia="it-IT"/>
        </w:rPr>
        <w:t xml:space="preserve"> contenuti nella </w:t>
      </w:r>
      <w:proofErr w:type="spellStart"/>
      <w:r w:rsidRPr="008B3F4B">
        <w:rPr>
          <w:rFonts w:asciiTheme="minorHAnsi" w:eastAsia="Times New Roman" w:hAnsiTheme="minorHAnsi" w:cstheme="minorHAnsi"/>
          <w:i/>
          <w:iCs/>
          <w:color w:val="3D3B39"/>
          <w:lang w:eastAsia="it-IT"/>
        </w:rPr>
        <w:t>lex</w:t>
      </w:r>
      <w:proofErr w:type="spellEnd"/>
      <w:r w:rsidRPr="008B3F4B">
        <w:rPr>
          <w:rFonts w:asciiTheme="minorHAnsi" w:eastAsia="Times New Roman" w:hAnsiTheme="minorHAnsi" w:cstheme="minorHAnsi"/>
          <w:i/>
          <w:iCs/>
          <w:color w:val="3D3B39"/>
          <w:lang w:eastAsia="it-IT"/>
        </w:rPr>
        <w:t xml:space="preserve"> </w:t>
      </w:r>
      <w:proofErr w:type="spellStart"/>
      <w:r w:rsidRPr="008B3F4B">
        <w:rPr>
          <w:rFonts w:asciiTheme="minorHAnsi" w:eastAsia="Times New Roman" w:hAnsiTheme="minorHAnsi" w:cstheme="minorHAnsi"/>
          <w:i/>
          <w:iCs/>
          <w:color w:val="3D3B39"/>
          <w:lang w:eastAsia="it-IT"/>
        </w:rPr>
        <w:t>specialis</w:t>
      </w:r>
      <w:proofErr w:type="spellEnd"/>
      <w:r w:rsidRPr="008B3F4B">
        <w:rPr>
          <w:rFonts w:asciiTheme="minorHAnsi" w:eastAsia="Times New Roman" w:hAnsiTheme="minorHAnsi" w:cstheme="minorHAnsi"/>
          <w:color w:val="3D3B39"/>
          <w:lang w:eastAsia="it-IT"/>
        </w:rPr>
        <w:t xml:space="preserve">. Ad esempio, riguardo alla relazione tecnica di offerta, il disciplinare chiariva a pag. 23 che occorreva esplicare le modalità con cui sarebbero state svolte le prestazioni (le modalità di esecuzione della progettazione per le diverse categorie indicate, diagrammi di flusso e cronoprogrammi, metodologia di approccio alle diverse tematiche progettuali in riferimento agli esempi sopra riportati, identificazione di studi e indagini necessari alla redazione dello studio di fattibilità tecnico - economica, di un progetto definitivo, di un esecutivo, modalità di utilizzo di nuove tecnologie per l'espletamento del servizio e loro possibile interoperabilità con i sistemi tradizionali) ma non recava esplicito riferimento agli argomenti indicati dalla ricorrente nella seconda colonna del riquadro a pag. 16 </w:t>
      </w:r>
      <w:r w:rsidRPr="008B3F4B">
        <w:rPr>
          <w:rFonts w:asciiTheme="minorHAnsi" w:eastAsia="Times New Roman" w:hAnsiTheme="minorHAnsi" w:cstheme="minorHAnsi"/>
          <w:color w:val="3D3B39"/>
          <w:lang w:eastAsia="it-IT"/>
        </w:rPr>
        <w:lastRenderedPageBreak/>
        <w:t>del ricorso che, secondo la medesima, sarebbero stati meglio sviluppati rispetto all’</w:t>
      </w:r>
      <w:proofErr w:type="spellStart"/>
      <w:r w:rsidRPr="008B3F4B">
        <w:rPr>
          <w:rFonts w:asciiTheme="minorHAnsi" w:eastAsia="Times New Roman" w:hAnsiTheme="minorHAnsi" w:cstheme="minorHAnsi"/>
          <w:color w:val="3D3B39"/>
          <w:lang w:eastAsia="it-IT"/>
        </w:rPr>
        <w:t>a.t.i</w:t>
      </w:r>
      <w:proofErr w:type="spellEnd"/>
      <w:r w:rsidRPr="008B3F4B">
        <w:rPr>
          <w:rFonts w:asciiTheme="minorHAnsi" w:eastAsia="Times New Roman" w:hAnsiTheme="minorHAnsi" w:cstheme="minorHAnsi"/>
          <w:color w:val="3D3B39"/>
          <w:lang w:eastAsia="it-IT"/>
        </w:rPr>
        <w:t xml:space="preserve">. </w:t>
      </w:r>
      <w:proofErr w:type="spellStart"/>
      <w:r w:rsidRPr="008B3F4B">
        <w:rPr>
          <w:rFonts w:asciiTheme="minorHAnsi" w:eastAsia="Times New Roman" w:hAnsiTheme="minorHAnsi" w:cstheme="minorHAnsi"/>
          <w:color w:val="3D3B39"/>
          <w:lang w:eastAsia="it-IT"/>
        </w:rPr>
        <w:t>controinteressata</w:t>
      </w:r>
      <w:proofErr w:type="spellEnd"/>
      <w:r w:rsidRPr="008B3F4B">
        <w:rPr>
          <w:rFonts w:asciiTheme="minorHAnsi" w:eastAsia="Times New Roman" w:hAnsiTheme="minorHAnsi" w:cstheme="minorHAnsi"/>
          <w:color w:val="3D3B39"/>
          <w:lang w:eastAsia="it-IT"/>
        </w:rPr>
        <w:t xml:space="preserve">. </w:t>
      </w:r>
      <w:r w:rsidRPr="008B3F4B">
        <w:rPr>
          <w:rFonts w:asciiTheme="minorHAnsi" w:eastAsia="Times New Roman" w:hAnsiTheme="minorHAnsi" w:cstheme="minorHAnsi"/>
          <w:color w:val="3D3B39"/>
          <w:lang w:eastAsia="it-IT"/>
        </w:rPr>
        <w:br/>
        <w:t>6.1. Tale deduzione consente di respingere i rilievi che riguardano i punteggi assegnati in relazione ai criteri A.2 (Relazione tecnica di offerta) e A.3 (Qualifica del personale): difatti, parte ricorrente rivendica un maggior punteggio sostenendo di aver affrontato una serie di argomenti che l’</w:t>
      </w:r>
      <w:proofErr w:type="spellStart"/>
      <w:r w:rsidRPr="008B3F4B">
        <w:rPr>
          <w:rFonts w:asciiTheme="minorHAnsi" w:eastAsia="Times New Roman" w:hAnsiTheme="minorHAnsi" w:cstheme="minorHAnsi"/>
          <w:color w:val="3D3B39"/>
          <w:lang w:eastAsia="it-IT"/>
        </w:rPr>
        <w:t>a.t.i</w:t>
      </w:r>
      <w:proofErr w:type="spellEnd"/>
      <w:r w:rsidRPr="008B3F4B">
        <w:rPr>
          <w:rFonts w:asciiTheme="minorHAnsi" w:eastAsia="Times New Roman" w:hAnsiTheme="minorHAnsi" w:cstheme="minorHAnsi"/>
          <w:color w:val="3D3B39"/>
          <w:lang w:eastAsia="it-IT"/>
        </w:rPr>
        <w:t xml:space="preserve">. OMISSIS avrebbe invece completamente tralasciato e, come si è anticipato, a sostegno di tale ragionamento ha redatto una tabella riepilogativa di confronto suddivisa in profili che non trovano alcun riferimento nel disciplinare di gara, con conseguente inconsistenza delle censure. </w:t>
      </w:r>
      <w:r w:rsidRPr="008B3F4B">
        <w:rPr>
          <w:rFonts w:asciiTheme="minorHAnsi" w:eastAsia="Times New Roman" w:hAnsiTheme="minorHAnsi" w:cstheme="minorHAnsi"/>
          <w:color w:val="3D3B39"/>
          <w:lang w:eastAsia="it-IT"/>
        </w:rPr>
        <w:br/>
        <w:t xml:space="preserve">6.2. Con riguardo al punteggio riferito al </w:t>
      </w:r>
      <w:proofErr w:type="spellStart"/>
      <w:r w:rsidRPr="008B3F4B">
        <w:rPr>
          <w:rFonts w:asciiTheme="minorHAnsi" w:eastAsia="Times New Roman" w:hAnsiTheme="minorHAnsi" w:cstheme="minorHAnsi"/>
          <w:color w:val="3D3B39"/>
          <w:lang w:eastAsia="it-IT"/>
        </w:rPr>
        <w:t>sottocriterio</w:t>
      </w:r>
      <w:proofErr w:type="spellEnd"/>
      <w:r w:rsidRPr="008B3F4B">
        <w:rPr>
          <w:rFonts w:asciiTheme="minorHAnsi" w:eastAsia="Times New Roman" w:hAnsiTheme="minorHAnsi" w:cstheme="minorHAnsi"/>
          <w:color w:val="3D3B39"/>
          <w:lang w:eastAsia="it-IT"/>
        </w:rPr>
        <w:t xml:space="preserve"> A.3, terzo alinea (</w:t>
      </w:r>
      <w:r w:rsidRPr="008B3F4B">
        <w:rPr>
          <w:rFonts w:asciiTheme="minorHAnsi" w:eastAsia="Times New Roman" w:hAnsiTheme="minorHAnsi" w:cstheme="minorHAnsi"/>
          <w:i/>
          <w:iCs/>
          <w:color w:val="3D3B39"/>
          <w:lang w:eastAsia="it-IT"/>
        </w:rPr>
        <w:t>curricula vitae</w:t>
      </w:r>
      <w:r w:rsidRPr="008B3F4B">
        <w:rPr>
          <w:rFonts w:asciiTheme="minorHAnsi" w:eastAsia="Times New Roman" w:hAnsiTheme="minorHAnsi" w:cstheme="minorHAnsi"/>
          <w:color w:val="3D3B39"/>
          <w:lang w:eastAsia="it-IT"/>
        </w:rPr>
        <w:t xml:space="preserve"> dei singoli professionisti responsabili delle varie discipline), è privo di pregio il ragionamento delle ricorrenti che, in sintesi, ritengono di aver diritto ad un maggior </w:t>
      </w:r>
      <w:proofErr w:type="spellStart"/>
      <w:r w:rsidRPr="008B3F4B">
        <w:rPr>
          <w:rFonts w:asciiTheme="minorHAnsi" w:eastAsia="Times New Roman" w:hAnsiTheme="minorHAnsi" w:cstheme="minorHAnsi"/>
          <w:color w:val="3D3B39"/>
          <w:lang w:eastAsia="it-IT"/>
        </w:rPr>
        <w:t>subpunteggio</w:t>
      </w:r>
      <w:proofErr w:type="spellEnd"/>
      <w:r w:rsidRPr="008B3F4B">
        <w:rPr>
          <w:rFonts w:asciiTheme="minorHAnsi" w:eastAsia="Times New Roman" w:hAnsiTheme="minorHAnsi" w:cstheme="minorHAnsi"/>
          <w:color w:val="3D3B39"/>
          <w:lang w:eastAsia="it-IT"/>
        </w:rPr>
        <w:t xml:space="preserve"> per aver offerto un numero di professionalità maggiori rispetto all’</w:t>
      </w:r>
      <w:proofErr w:type="spellStart"/>
      <w:r w:rsidRPr="008B3F4B">
        <w:rPr>
          <w:rFonts w:asciiTheme="minorHAnsi" w:eastAsia="Times New Roman" w:hAnsiTheme="minorHAnsi" w:cstheme="minorHAnsi"/>
          <w:color w:val="3D3B39"/>
          <w:lang w:eastAsia="it-IT"/>
        </w:rPr>
        <w:t>a.t.i</w:t>
      </w:r>
      <w:proofErr w:type="spellEnd"/>
      <w:r w:rsidRPr="008B3F4B">
        <w:rPr>
          <w:rFonts w:asciiTheme="minorHAnsi" w:eastAsia="Times New Roman" w:hAnsiTheme="minorHAnsi" w:cstheme="minorHAnsi"/>
          <w:color w:val="3D3B39"/>
          <w:lang w:eastAsia="it-IT"/>
        </w:rPr>
        <w:t>. OMISSIS (36 contro 25). Contrariamente a quanto dedotto dalle istanti, la disciplina di gara non prevedeva infatti alcuna graduazione del punteggio in relazione al numero dei professionisti, ma prendeva in considerazione unicamente il </w:t>
      </w:r>
      <w:r w:rsidRPr="008B3F4B">
        <w:rPr>
          <w:rFonts w:asciiTheme="minorHAnsi" w:eastAsia="Times New Roman" w:hAnsiTheme="minorHAnsi" w:cstheme="minorHAnsi"/>
          <w:i/>
          <w:iCs/>
          <w:color w:val="3D3B39"/>
          <w:lang w:eastAsia="it-IT"/>
        </w:rPr>
        <w:t>curriculum </w:t>
      </w:r>
      <w:r w:rsidRPr="008B3F4B">
        <w:rPr>
          <w:rFonts w:asciiTheme="minorHAnsi" w:eastAsia="Times New Roman" w:hAnsiTheme="minorHAnsi" w:cstheme="minorHAnsi"/>
          <w:color w:val="3D3B39"/>
          <w:lang w:eastAsia="it-IT"/>
        </w:rPr>
        <w:t xml:space="preserve">dei singoli </w:t>
      </w:r>
      <w:proofErr w:type="spellStart"/>
      <w:r w:rsidRPr="008B3F4B">
        <w:rPr>
          <w:rFonts w:asciiTheme="minorHAnsi" w:eastAsia="Times New Roman" w:hAnsiTheme="minorHAnsi" w:cstheme="minorHAnsi"/>
          <w:color w:val="3D3B39"/>
          <w:lang w:eastAsia="it-IT"/>
        </w:rPr>
        <w:t>professonisti</w:t>
      </w:r>
      <w:proofErr w:type="spellEnd"/>
      <w:r w:rsidRPr="008B3F4B">
        <w:rPr>
          <w:rFonts w:asciiTheme="minorHAnsi" w:eastAsia="Times New Roman" w:hAnsiTheme="minorHAnsi" w:cstheme="minorHAnsi"/>
          <w:color w:val="3D3B39"/>
          <w:lang w:eastAsia="it-IT"/>
        </w:rPr>
        <w:t xml:space="preserve"> impiegati. </w:t>
      </w:r>
      <w:r w:rsidRPr="008B3F4B">
        <w:rPr>
          <w:rFonts w:asciiTheme="minorHAnsi" w:eastAsia="Times New Roman" w:hAnsiTheme="minorHAnsi" w:cstheme="minorHAnsi"/>
          <w:color w:val="3D3B39"/>
          <w:lang w:eastAsia="it-IT"/>
        </w:rPr>
        <w:br/>
        <w:t xml:space="preserve">6.3. In relazione al criterio A.4 (partecipazione di giovani professionisti), va respinta la deduzione delle ricorrenti che ritengono iniquo il punteggio ricevuto, lamentando di aver previsto nel proprio organigramma n. 10 giovani professionisti contro i n. 4 indicati dal </w:t>
      </w:r>
      <w:proofErr w:type="spellStart"/>
      <w:r w:rsidRPr="008B3F4B">
        <w:rPr>
          <w:rFonts w:asciiTheme="minorHAnsi" w:eastAsia="Times New Roman" w:hAnsiTheme="minorHAnsi" w:cstheme="minorHAnsi"/>
          <w:color w:val="3D3B39"/>
          <w:lang w:eastAsia="it-IT"/>
        </w:rPr>
        <w:t>r.t.i</w:t>
      </w:r>
      <w:proofErr w:type="spellEnd"/>
      <w:r w:rsidRPr="008B3F4B">
        <w:rPr>
          <w:rFonts w:asciiTheme="minorHAnsi" w:eastAsia="Times New Roman" w:hAnsiTheme="minorHAnsi" w:cstheme="minorHAnsi"/>
          <w:color w:val="3D3B39"/>
          <w:lang w:eastAsia="it-IT"/>
        </w:rPr>
        <w:t xml:space="preserve">. OMISSIS. Difatti, ai fini dell’attribuzione del </w:t>
      </w:r>
      <w:proofErr w:type="spellStart"/>
      <w:r w:rsidRPr="008B3F4B">
        <w:rPr>
          <w:rFonts w:asciiTheme="minorHAnsi" w:eastAsia="Times New Roman" w:hAnsiTheme="minorHAnsi" w:cstheme="minorHAnsi"/>
          <w:color w:val="3D3B39"/>
          <w:lang w:eastAsia="it-IT"/>
        </w:rPr>
        <w:t>subpunteggio</w:t>
      </w:r>
      <w:proofErr w:type="spellEnd"/>
      <w:r w:rsidRPr="008B3F4B">
        <w:rPr>
          <w:rFonts w:asciiTheme="minorHAnsi" w:eastAsia="Times New Roman" w:hAnsiTheme="minorHAnsi" w:cstheme="minorHAnsi"/>
          <w:color w:val="3D3B39"/>
          <w:lang w:eastAsia="it-IT"/>
        </w:rPr>
        <w:t>, il parametro in questione prendeva in considerazione, oltre al numero di giovani professionisti, anche le relative modalità di inserimento nel </w:t>
      </w:r>
      <w:proofErr w:type="spellStart"/>
      <w:r w:rsidRPr="008B3F4B">
        <w:rPr>
          <w:rFonts w:asciiTheme="minorHAnsi" w:eastAsia="Times New Roman" w:hAnsiTheme="minorHAnsi" w:cstheme="minorHAnsi"/>
          <w:i/>
          <w:iCs/>
          <w:color w:val="3D3B39"/>
          <w:lang w:eastAsia="it-IT"/>
        </w:rPr>
        <w:t>team</w:t>
      </w:r>
      <w:r w:rsidRPr="008B3F4B">
        <w:rPr>
          <w:rFonts w:asciiTheme="minorHAnsi" w:eastAsia="Times New Roman" w:hAnsiTheme="minorHAnsi" w:cstheme="minorHAnsi"/>
          <w:color w:val="3D3B39"/>
          <w:lang w:eastAsia="it-IT"/>
        </w:rPr>
        <w:t>di</w:t>
      </w:r>
      <w:proofErr w:type="spellEnd"/>
      <w:r w:rsidRPr="008B3F4B">
        <w:rPr>
          <w:rFonts w:asciiTheme="minorHAnsi" w:eastAsia="Times New Roman" w:hAnsiTheme="minorHAnsi" w:cstheme="minorHAnsi"/>
          <w:color w:val="3D3B39"/>
          <w:lang w:eastAsia="it-IT"/>
        </w:rPr>
        <w:t xml:space="preserve"> progettazione (</w:t>
      </w:r>
      <w:r w:rsidRPr="008B3F4B">
        <w:rPr>
          <w:rFonts w:asciiTheme="minorHAnsi" w:eastAsia="Times New Roman" w:hAnsiTheme="minorHAnsi" w:cstheme="minorHAnsi"/>
          <w:i/>
          <w:iCs/>
          <w:color w:val="3D3B39"/>
          <w:lang w:eastAsia="it-IT"/>
        </w:rPr>
        <w:t>“La Commissione valuterà la presenza dei giovani professionisti a supporto della struttura di progettazione. Oltre al numero di elementi proposti, sarà valutata la modalità del suo inserimento nel processo di progettazione”</w:t>
      </w:r>
      <w:r w:rsidRPr="008B3F4B">
        <w:rPr>
          <w:rFonts w:asciiTheme="minorHAnsi" w:eastAsia="Times New Roman" w:hAnsiTheme="minorHAnsi" w:cstheme="minorHAnsi"/>
          <w:color w:val="3D3B39"/>
          <w:lang w:eastAsia="it-IT"/>
        </w:rPr>
        <w:t xml:space="preserve">) e in relazione a tale profilo non risulta documentata una oggettiva superiorità dell’offerta delle ricorrenti. </w:t>
      </w:r>
      <w:r w:rsidRPr="008B3F4B">
        <w:rPr>
          <w:rFonts w:asciiTheme="minorHAnsi" w:eastAsia="Times New Roman" w:hAnsiTheme="minorHAnsi" w:cstheme="minorHAnsi"/>
          <w:color w:val="3D3B39"/>
          <w:lang w:eastAsia="it-IT"/>
        </w:rPr>
        <w:br/>
        <w:t>6.4. Quanto al parametro A.5(Modalità di interazione/integrazione con la committenza) è palesemente infondato il profilo di illegittimità secondo cui l’</w:t>
      </w:r>
      <w:proofErr w:type="spellStart"/>
      <w:r w:rsidRPr="008B3F4B">
        <w:rPr>
          <w:rFonts w:asciiTheme="minorHAnsi" w:eastAsia="Times New Roman" w:hAnsiTheme="minorHAnsi" w:cstheme="minorHAnsi"/>
          <w:color w:val="3D3B39"/>
          <w:lang w:eastAsia="it-IT"/>
        </w:rPr>
        <w:t>a.t.i</w:t>
      </w:r>
      <w:proofErr w:type="spellEnd"/>
      <w:r w:rsidRPr="008B3F4B">
        <w:rPr>
          <w:rFonts w:asciiTheme="minorHAnsi" w:eastAsia="Times New Roman" w:hAnsiTheme="minorHAnsi" w:cstheme="minorHAnsi"/>
          <w:color w:val="3D3B39"/>
          <w:lang w:eastAsia="it-IT"/>
        </w:rPr>
        <w:t xml:space="preserve">. ricorrente avrebbe illegittimamente ottenuto un punteggio inferiore (7) rispetto all’aggiudicatario (10) in quanto sarebbe stato erroneamente calcolato il numero di giorni/mese (8 anziché 8,66) offerto presso la sede della committente per consultazioni e/o revisioni del materiale prodotto. </w:t>
      </w:r>
      <w:r w:rsidRPr="008B3F4B">
        <w:rPr>
          <w:rFonts w:asciiTheme="minorHAnsi" w:eastAsia="Times New Roman" w:hAnsiTheme="minorHAnsi" w:cstheme="minorHAnsi"/>
          <w:color w:val="3D3B39"/>
          <w:lang w:eastAsia="it-IT"/>
        </w:rPr>
        <w:br/>
        <w:t>Al riguardo va rammentato che, in base al disciplinare di gara, il criterio era così formulato: </w:t>
      </w:r>
      <w:r w:rsidRPr="008B3F4B">
        <w:rPr>
          <w:rFonts w:asciiTheme="minorHAnsi" w:eastAsia="Times New Roman" w:hAnsiTheme="minorHAnsi" w:cstheme="minorHAnsi"/>
          <w:i/>
          <w:iCs/>
          <w:color w:val="3D3B39"/>
          <w:lang w:eastAsia="it-IT"/>
        </w:rPr>
        <w:t>“La Commissione attribuirà il punteggio in funzione della proposta di dedicare, nel corso dello svolgimento dei singoli contratti attuativi affidati, la presenza di figure specialistiche competenti per i singoli aspetti di progettazione, per un numero minimo di giornate/mese presso la sede della committenza per consultazioni e/o revisioni del materiale prodotto” </w:t>
      </w:r>
      <w:r w:rsidRPr="008B3F4B">
        <w:rPr>
          <w:rFonts w:asciiTheme="minorHAnsi" w:eastAsia="Times New Roman" w:hAnsiTheme="minorHAnsi" w:cstheme="minorHAnsi"/>
          <w:color w:val="3D3B39"/>
          <w:lang w:eastAsia="it-IT"/>
        </w:rPr>
        <w:t xml:space="preserve">ed il </w:t>
      </w:r>
      <w:proofErr w:type="spellStart"/>
      <w:r w:rsidRPr="008B3F4B">
        <w:rPr>
          <w:rFonts w:asciiTheme="minorHAnsi" w:eastAsia="Times New Roman" w:hAnsiTheme="minorHAnsi" w:cstheme="minorHAnsi"/>
          <w:color w:val="3D3B39"/>
          <w:lang w:eastAsia="it-IT"/>
        </w:rPr>
        <w:t>subpunteggio</w:t>
      </w:r>
      <w:proofErr w:type="spellEnd"/>
      <w:r w:rsidRPr="008B3F4B">
        <w:rPr>
          <w:rFonts w:asciiTheme="minorHAnsi" w:eastAsia="Times New Roman" w:hAnsiTheme="minorHAnsi" w:cstheme="minorHAnsi"/>
          <w:color w:val="3D3B39"/>
          <w:lang w:eastAsia="it-IT"/>
        </w:rPr>
        <w:t xml:space="preserve"> sarebbe stato commisurato al numero di giornate/mese offerte, secondo una graduazione prevista dal disciplinare (pag. 26). </w:t>
      </w:r>
      <w:r w:rsidRPr="008B3F4B">
        <w:rPr>
          <w:rFonts w:asciiTheme="minorHAnsi" w:eastAsia="Times New Roman" w:hAnsiTheme="minorHAnsi" w:cstheme="minorHAnsi"/>
          <w:color w:val="3D3B39"/>
          <w:lang w:eastAsia="it-IT"/>
        </w:rPr>
        <w:br/>
        <w:t>Ebbene, nel caso specifico l’</w:t>
      </w:r>
      <w:proofErr w:type="spellStart"/>
      <w:r w:rsidRPr="008B3F4B">
        <w:rPr>
          <w:rFonts w:asciiTheme="minorHAnsi" w:eastAsia="Times New Roman" w:hAnsiTheme="minorHAnsi" w:cstheme="minorHAnsi"/>
          <w:color w:val="3D3B39"/>
          <w:lang w:eastAsia="it-IT"/>
        </w:rPr>
        <w:t>a.t.i</w:t>
      </w:r>
      <w:proofErr w:type="spellEnd"/>
      <w:r w:rsidRPr="008B3F4B">
        <w:rPr>
          <w:rFonts w:asciiTheme="minorHAnsi" w:eastAsia="Times New Roman" w:hAnsiTheme="minorHAnsi" w:cstheme="minorHAnsi"/>
          <w:color w:val="3D3B39"/>
          <w:lang w:eastAsia="it-IT"/>
        </w:rPr>
        <w:t xml:space="preserve">. OMISSIS ha offerto un numero di giornate/mese pari ad 8 indicato con numero e a lettere mentre il </w:t>
      </w:r>
      <w:proofErr w:type="spellStart"/>
      <w:r w:rsidRPr="008B3F4B">
        <w:rPr>
          <w:rFonts w:asciiTheme="minorHAnsi" w:eastAsia="Times New Roman" w:hAnsiTheme="minorHAnsi" w:cstheme="minorHAnsi"/>
          <w:color w:val="3D3B39"/>
          <w:lang w:eastAsia="it-IT"/>
        </w:rPr>
        <w:t>r.t.i</w:t>
      </w:r>
      <w:proofErr w:type="spellEnd"/>
      <w:r w:rsidRPr="008B3F4B">
        <w:rPr>
          <w:rFonts w:asciiTheme="minorHAnsi" w:eastAsia="Times New Roman" w:hAnsiTheme="minorHAnsi" w:cstheme="minorHAnsi"/>
          <w:color w:val="3D3B39"/>
          <w:lang w:eastAsia="it-IT"/>
        </w:rPr>
        <w:t xml:space="preserve">. aggiudicatario ha offerto un rapporto pari a 9, con conseguente legittimità dei corrispondenti </w:t>
      </w:r>
      <w:proofErr w:type="spellStart"/>
      <w:r w:rsidRPr="008B3F4B">
        <w:rPr>
          <w:rFonts w:asciiTheme="minorHAnsi" w:eastAsia="Times New Roman" w:hAnsiTheme="minorHAnsi" w:cstheme="minorHAnsi"/>
          <w:color w:val="3D3B39"/>
          <w:lang w:eastAsia="it-IT"/>
        </w:rPr>
        <w:t>subpunteggi</w:t>
      </w:r>
      <w:proofErr w:type="spellEnd"/>
      <w:r w:rsidRPr="008B3F4B">
        <w:rPr>
          <w:rFonts w:asciiTheme="minorHAnsi" w:eastAsia="Times New Roman" w:hAnsiTheme="minorHAnsi" w:cstheme="minorHAnsi"/>
          <w:color w:val="3D3B39"/>
          <w:lang w:eastAsia="it-IT"/>
        </w:rPr>
        <w:t xml:space="preserve"> assegnati dalla commissione di gara (rispettivamente 7 al </w:t>
      </w:r>
      <w:proofErr w:type="spellStart"/>
      <w:r w:rsidRPr="008B3F4B">
        <w:rPr>
          <w:rFonts w:asciiTheme="minorHAnsi" w:eastAsia="Times New Roman" w:hAnsiTheme="minorHAnsi" w:cstheme="minorHAnsi"/>
          <w:color w:val="3D3B39"/>
          <w:lang w:eastAsia="it-IT"/>
        </w:rPr>
        <w:t>r.t.i</w:t>
      </w:r>
      <w:proofErr w:type="spellEnd"/>
      <w:r w:rsidRPr="008B3F4B">
        <w:rPr>
          <w:rFonts w:asciiTheme="minorHAnsi" w:eastAsia="Times New Roman" w:hAnsiTheme="minorHAnsi" w:cstheme="minorHAnsi"/>
          <w:color w:val="3D3B39"/>
          <w:lang w:eastAsia="it-IT"/>
        </w:rPr>
        <w:t xml:space="preserve">. OMISSIS e 10 al </w:t>
      </w:r>
      <w:proofErr w:type="spellStart"/>
      <w:r w:rsidRPr="008B3F4B">
        <w:rPr>
          <w:rFonts w:asciiTheme="minorHAnsi" w:eastAsia="Times New Roman" w:hAnsiTheme="minorHAnsi" w:cstheme="minorHAnsi"/>
          <w:color w:val="3D3B39"/>
          <w:lang w:eastAsia="it-IT"/>
        </w:rPr>
        <w:t>r.t.i</w:t>
      </w:r>
      <w:proofErr w:type="spellEnd"/>
      <w:r w:rsidRPr="008B3F4B">
        <w:rPr>
          <w:rFonts w:asciiTheme="minorHAnsi" w:eastAsia="Times New Roman" w:hAnsiTheme="minorHAnsi" w:cstheme="minorHAnsi"/>
          <w:color w:val="3D3B39"/>
          <w:lang w:eastAsia="it-IT"/>
        </w:rPr>
        <w:t xml:space="preserve">. OMISSIS). </w:t>
      </w:r>
      <w:r w:rsidRPr="008B3F4B">
        <w:rPr>
          <w:rFonts w:asciiTheme="minorHAnsi" w:eastAsia="Times New Roman" w:hAnsiTheme="minorHAnsi" w:cstheme="minorHAnsi"/>
          <w:color w:val="3D3B39"/>
          <w:lang w:eastAsia="it-IT"/>
        </w:rPr>
        <w:br/>
        <w:t>L’eventuale refuso che l’</w:t>
      </w:r>
      <w:proofErr w:type="spellStart"/>
      <w:r w:rsidRPr="008B3F4B">
        <w:rPr>
          <w:rFonts w:asciiTheme="minorHAnsi" w:eastAsia="Times New Roman" w:hAnsiTheme="minorHAnsi" w:cstheme="minorHAnsi"/>
          <w:color w:val="3D3B39"/>
          <w:lang w:eastAsia="it-IT"/>
        </w:rPr>
        <w:t>a.t.i</w:t>
      </w:r>
      <w:proofErr w:type="spellEnd"/>
      <w:r w:rsidRPr="008B3F4B">
        <w:rPr>
          <w:rFonts w:asciiTheme="minorHAnsi" w:eastAsia="Times New Roman" w:hAnsiTheme="minorHAnsi" w:cstheme="minorHAnsi"/>
          <w:color w:val="3D3B39"/>
          <w:lang w:eastAsia="it-IT"/>
        </w:rPr>
        <w:t>. ricorrente sostiene di aver commesso nel calcolo delle giornate/mese indicato nella propria offerta non può non ricadere sulla medesima in base al principio generale dell'</w:t>
      </w:r>
      <w:proofErr w:type="spellStart"/>
      <w:r w:rsidRPr="008B3F4B">
        <w:rPr>
          <w:rFonts w:asciiTheme="minorHAnsi" w:eastAsia="Times New Roman" w:hAnsiTheme="minorHAnsi" w:cstheme="minorHAnsi"/>
          <w:color w:val="3D3B39"/>
          <w:lang w:eastAsia="it-IT"/>
        </w:rPr>
        <w:t>autoresponsabilità</w:t>
      </w:r>
      <w:proofErr w:type="spellEnd"/>
      <w:r w:rsidRPr="008B3F4B">
        <w:rPr>
          <w:rFonts w:asciiTheme="minorHAnsi" w:eastAsia="Times New Roman" w:hAnsiTheme="minorHAnsi" w:cstheme="minorHAnsi"/>
          <w:color w:val="3D3B39"/>
          <w:lang w:eastAsia="it-IT"/>
        </w:rPr>
        <w:t xml:space="preserve"> dei concorrenti, secondo cui ogni operatore economico sopporta le conseguenze di eventuali errori commessi nella presentazione dell’offerta. </w:t>
      </w:r>
      <w:r w:rsidRPr="008B3F4B">
        <w:rPr>
          <w:rFonts w:asciiTheme="minorHAnsi" w:eastAsia="Times New Roman" w:hAnsiTheme="minorHAnsi" w:cstheme="minorHAnsi"/>
          <w:color w:val="3D3B39"/>
          <w:lang w:eastAsia="it-IT"/>
        </w:rPr>
        <w:br/>
        <w:t xml:space="preserve">7. Sono infine infondate le censure con cui parte ricorrente lamenta il difetto di motivazione in ordine ai criteri di attribuzione del punteggio e la presunta contraddittorietà tra i giudizi formulati da alcuni commissari di gara e i corrispondenti coefficienti assegnati. </w:t>
      </w:r>
      <w:r w:rsidRPr="008B3F4B">
        <w:rPr>
          <w:rFonts w:asciiTheme="minorHAnsi" w:eastAsia="Times New Roman" w:hAnsiTheme="minorHAnsi" w:cstheme="minorHAnsi"/>
          <w:color w:val="3D3B39"/>
          <w:lang w:eastAsia="it-IT"/>
        </w:rPr>
        <w:br/>
        <w:t xml:space="preserve">In proposito, l’art. 18 del disciplinare di gara recava specifica indicazione in ordine ai criteri e sub-criteri di valutazione dell’offerta, in relazione ai quali la ponderazione è ricondotta ad una soglia con valore numerico determinato che prevede uno scarto tra il minimo e il massimo. </w:t>
      </w:r>
      <w:r w:rsidRPr="008B3F4B">
        <w:rPr>
          <w:rFonts w:asciiTheme="minorHAnsi" w:eastAsia="Times New Roman" w:hAnsiTheme="minorHAnsi" w:cstheme="minorHAnsi"/>
          <w:color w:val="3D3B39"/>
          <w:lang w:eastAsia="it-IT"/>
        </w:rPr>
        <w:br/>
        <w:t>Può quindi affermarsi che vi è specificazione di parametri di valutazione che parcellizzano e specificano gli elementi che compongono l’offerta tecnica degli operatori concorrenti, con previsione per ciascuno di essi di specifico punteggio, onde la discrezionalità dell’amministrazione non solo viene veicolata in ambiti obbligatori di valutazione ma viene, altresì, previamente definita e precisata in maniera tale da consentire, pur attraverso la mera attribuzione del voto numerico, di risalire all’</w:t>
      </w:r>
      <w:r w:rsidRPr="008B3F4B">
        <w:rPr>
          <w:rFonts w:asciiTheme="minorHAnsi" w:eastAsia="Times New Roman" w:hAnsiTheme="minorHAnsi" w:cstheme="minorHAnsi"/>
          <w:i/>
          <w:iCs/>
          <w:color w:val="3D3B39"/>
          <w:lang w:eastAsia="it-IT"/>
        </w:rPr>
        <w:t>iter</w:t>
      </w:r>
      <w:r w:rsidRPr="008B3F4B">
        <w:rPr>
          <w:rFonts w:asciiTheme="minorHAnsi" w:eastAsia="Times New Roman" w:hAnsiTheme="minorHAnsi" w:cstheme="minorHAnsi"/>
          <w:color w:val="3D3B39"/>
          <w:lang w:eastAsia="it-IT"/>
        </w:rPr>
        <w:t xml:space="preserve"> logico seguito nella assegnazione del concreto punteggio attribuito. </w:t>
      </w:r>
      <w:r w:rsidRPr="008B3F4B">
        <w:rPr>
          <w:rFonts w:asciiTheme="minorHAnsi" w:eastAsia="Times New Roman" w:hAnsiTheme="minorHAnsi" w:cstheme="minorHAnsi"/>
          <w:color w:val="3D3B39"/>
          <w:lang w:eastAsia="it-IT"/>
        </w:rPr>
        <w:br/>
      </w:r>
      <w:r w:rsidRPr="008B3F4B">
        <w:rPr>
          <w:rFonts w:asciiTheme="minorHAnsi" w:eastAsia="Times New Roman" w:hAnsiTheme="minorHAnsi" w:cstheme="minorHAnsi"/>
          <w:color w:val="3D3B39"/>
          <w:lang w:eastAsia="it-IT"/>
        </w:rPr>
        <w:lastRenderedPageBreak/>
        <w:t xml:space="preserve">Peraltro, la griglia di valutazione appare dettagliata e non generica, conforme, pertanto, agli orientamenti giurisprudenziali che individuano le condizioni in presenza delle quali la valutazione può legittimamente essere espressa attraverso la mera attribuzione del voto numerico (Consiglio di Stato, Sez. V, n. 4438/2017 e n. 1889/2016; Sez. III, n. 2050/2015). </w:t>
      </w:r>
      <w:r w:rsidRPr="008B3F4B">
        <w:rPr>
          <w:rFonts w:asciiTheme="minorHAnsi" w:eastAsia="Times New Roman" w:hAnsiTheme="minorHAnsi" w:cstheme="minorHAnsi"/>
          <w:color w:val="3D3B39"/>
          <w:lang w:eastAsia="it-IT"/>
        </w:rPr>
        <w:br/>
        <w:t>7.1. Non ha poi pregio la questione relativa alla presunta discrasia tra il voto numerico e il giudizio di valore effettuato da alcuni commissari, alla luce delle previsioni contenute nel disciplinare di gara, secondo cui il coefficiente numerico discrezionalmente attribuito dal singolo commissario avrebbe concorso al calcolo della media dei coefficienti e, solo in seguito, alla determinazione del punteggio finale (</w:t>
      </w:r>
      <w:r w:rsidRPr="008B3F4B">
        <w:rPr>
          <w:rFonts w:asciiTheme="minorHAnsi" w:eastAsia="Times New Roman" w:hAnsiTheme="minorHAnsi" w:cstheme="minorHAnsi"/>
          <w:i/>
          <w:iCs/>
          <w:color w:val="3D3B39"/>
          <w:lang w:eastAsia="it-IT"/>
        </w:rPr>
        <w:t>“La Commissione procederà con l'attribuzione discrezionale di un coefficiente variabile tra zero e uno da parte di ciascun commissario di gara; successivamente verrà calcolatala media dei coefficienti che sarà moltiplicata per il punteggio massimo attribuibile in relazione al singolo criterio”, </w:t>
      </w:r>
      <w:r w:rsidRPr="008B3F4B">
        <w:rPr>
          <w:rFonts w:asciiTheme="minorHAnsi" w:eastAsia="Times New Roman" w:hAnsiTheme="minorHAnsi" w:cstheme="minorHAnsi"/>
          <w:color w:val="3D3B39"/>
          <w:lang w:eastAsia="it-IT"/>
        </w:rPr>
        <w:t>disciplinare di gara, pag. 26). In altri termini, ai fini della valutazione dell’offerta ciò che rileva in base alla </w:t>
      </w:r>
      <w:proofErr w:type="spellStart"/>
      <w:r w:rsidRPr="008B3F4B">
        <w:rPr>
          <w:rFonts w:asciiTheme="minorHAnsi" w:eastAsia="Times New Roman" w:hAnsiTheme="minorHAnsi" w:cstheme="minorHAnsi"/>
          <w:i/>
          <w:iCs/>
          <w:color w:val="3D3B39"/>
          <w:lang w:eastAsia="it-IT"/>
        </w:rPr>
        <w:t>lex</w:t>
      </w:r>
      <w:proofErr w:type="spellEnd"/>
      <w:r w:rsidRPr="008B3F4B">
        <w:rPr>
          <w:rFonts w:asciiTheme="minorHAnsi" w:eastAsia="Times New Roman" w:hAnsiTheme="minorHAnsi" w:cstheme="minorHAnsi"/>
          <w:i/>
          <w:iCs/>
          <w:color w:val="3D3B39"/>
          <w:lang w:eastAsia="it-IT"/>
        </w:rPr>
        <w:t xml:space="preserve"> </w:t>
      </w:r>
      <w:proofErr w:type="spellStart"/>
      <w:r w:rsidRPr="008B3F4B">
        <w:rPr>
          <w:rFonts w:asciiTheme="minorHAnsi" w:eastAsia="Times New Roman" w:hAnsiTheme="minorHAnsi" w:cstheme="minorHAnsi"/>
          <w:i/>
          <w:iCs/>
          <w:color w:val="3D3B39"/>
          <w:lang w:eastAsia="it-IT"/>
        </w:rPr>
        <w:t>specialis</w:t>
      </w:r>
      <w:proofErr w:type="spellEnd"/>
      <w:r w:rsidRPr="008B3F4B">
        <w:rPr>
          <w:rFonts w:asciiTheme="minorHAnsi" w:eastAsia="Times New Roman" w:hAnsiTheme="minorHAnsi" w:cstheme="minorHAnsi"/>
          <w:i/>
          <w:iCs/>
          <w:color w:val="3D3B39"/>
          <w:lang w:eastAsia="it-IT"/>
        </w:rPr>
        <w:t> </w:t>
      </w:r>
      <w:r w:rsidRPr="008B3F4B">
        <w:rPr>
          <w:rFonts w:asciiTheme="minorHAnsi" w:eastAsia="Times New Roman" w:hAnsiTheme="minorHAnsi" w:cstheme="minorHAnsi"/>
          <w:color w:val="3D3B39"/>
          <w:lang w:eastAsia="it-IT"/>
        </w:rPr>
        <w:t xml:space="preserve">è il punteggio numerico ottenuto dalla media dei coefficienti di tutti i commissari che, invero, non può ritenersi complessivamente inficiato dai giudizi di valore incongruenti evidenziati nel ricorso espressi da alcuni componenti del seggio di gara. </w:t>
      </w:r>
      <w:r w:rsidRPr="008B3F4B">
        <w:rPr>
          <w:rFonts w:asciiTheme="minorHAnsi" w:eastAsia="Times New Roman" w:hAnsiTheme="minorHAnsi" w:cstheme="minorHAnsi"/>
          <w:color w:val="3D3B39"/>
          <w:lang w:eastAsia="it-IT"/>
        </w:rPr>
        <w:br/>
        <w:t xml:space="preserve">8. Passando all’esame dei motivi aggiunti depositati il 10.12.2018 aventi ad oggetto la richiesta di accesso ex art. 116 </w:t>
      </w:r>
      <w:proofErr w:type="spellStart"/>
      <w:r w:rsidRPr="008B3F4B">
        <w:rPr>
          <w:rFonts w:asciiTheme="minorHAnsi" w:eastAsia="Times New Roman" w:hAnsiTheme="minorHAnsi" w:cstheme="minorHAnsi"/>
          <w:color w:val="3D3B39"/>
          <w:lang w:eastAsia="it-IT"/>
        </w:rPr>
        <w:t>c.p.a</w:t>
      </w:r>
      <w:proofErr w:type="spellEnd"/>
      <w:r w:rsidRPr="008B3F4B">
        <w:rPr>
          <w:rFonts w:asciiTheme="minorHAnsi" w:eastAsia="Times New Roman" w:hAnsiTheme="minorHAnsi" w:cstheme="minorHAnsi"/>
          <w:color w:val="3D3B39"/>
          <w:lang w:eastAsia="it-IT"/>
        </w:rPr>
        <w:t xml:space="preserve">., occorre prendere atto della relativa improcedibilità, visto che l’amministrazione ha provveduto all’ostensione degli atti richiesti, con conseguente sopravvenuta carenza di interesse alla relativa decisione. </w:t>
      </w:r>
      <w:r w:rsidRPr="008B3F4B">
        <w:rPr>
          <w:rFonts w:asciiTheme="minorHAnsi" w:eastAsia="Times New Roman" w:hAnsiTheme="minorHAnsi" w:cstheme="minorHAnsi"/>
          <w:color w:val="3D3B39"/>
          <w:lang w:eastAsia="it-IT"/>
        </w:rPr>
        <w:br/>
        <w:t xml:space="preserve">9. Vanno respinti i motivi aggiunti depositati il 1.2.2019 con cui parte ricorrente invoca l’estromissione del raggruppamento aggiudicatario per illegittimità dell’atto di ammissione che, secondo la prospettazione attorea, risulterebbe comprovata dall’esame dei documenti acquisiti in sede di accesso. </w:t>
      </w:r>
      <w:r w:rsidRPr="008B3F4B">
        <w:rPr>
          <w:rFonts w:asciiTheme="minorHAnsi" w:eastAsia="Times New Roman" w:hAnsiTheme="minorHAnsi" w:cstheme="minorHAnsi"/>
          <w:color w:val="3D3B39"/>
          <w:lang w:eastAsia="it-IT"/>
        </w:rPr>
        <w:br/>
        <w:t xml:space="preserve">In applicazione del principio di sinteticità nella redazione delle sentenze in materia di appalti pubblici ex art. 120, comma 10, del </w:t>
      </w:r>
      <w:proofErr w:type="spellStart"/>
      <w:r w:rsidRPr="008B3F4B">
        <w:rPr>
          <w:rFonts w:asciiTheme="minorHAnsi" w:eastAsia="Times New Roman" w:hAnsiTheme="minorHAnsi" w:cstheme="minorHAnsi"/>
          <w:color w:val="3D3B39"/>
          <w:lang w:eastAsia="it-IT"/>
        </w:rPr>
        <w:t>c.p.a</w:t>
      </w:r>
      <w:proofErr w:type="spellEnd"/>
      <w:r w:rsidRPr="008B3F4B">
        <w:rPr>
          <w:rFonts w:asciiTheme="minorHAnsi" w:eastAsia="Times New Roman" w:hAnsiTheme="minorHAnsi" w:cstheme="minorHAnsi"/>
          <w:color w:val="3D3B39"/>
          <w:lang w:eastAsia="it-IT"/>
        </w:rPr>
        <w:t>. (</w:t>
      </w:r>
      <w:r w:rsidRPr="008B3F4B">
        <w:rPr>
          <w:rFonts w:asciiTheme="minorHAnsi" w:eastAsia="Times New Roman" w:hAnsiTheme="minorHAnsi" w:cstheme="minorHAnsi"/>
          <w:i/>
          <w:iCs/>
          <w:color w:val="3D3B39"/>
          <w:lang w:eastAsia="it-IT"/>
        </w:rPr>
        <w:t>“Tutti gli atti di parte e i provvedimenti del giudice devono essere sintetici e la sentenza è redatta, ordinariamente, nelle forme di cui all' articolo 74”</w:t>
      </w:r>
      <w:r w:rsidRPr="008B3F4B">
        <w:rPr>
          <w:rFonts w:asciiTheme="minorHAnsi" w:eastAsia="Times New Roman" w:hAnsiTheme="minorHAnsi" w:cstheme="minorHAnsi"/>
          <w:color w:val="3D3B39"/>
          <w:lang w:eastAsia="it-IT"/>
        </w:rPr>
        <w:t xml:space="preserve">), di seguito si riportano le ragioni </w:t>
      </w:r>
      <w:proofErr w:type="spellStart"/>
      <w:r w:rsidRPr="008B3F4B">
        <w:rPr>
          <w:rFonts w:asciiTheme="minorHAnsi" w:eastAsia="Times New Roman" w:hAnsiTheme="minorHAnsi" w:cstheme="minorHAnsi"/>
          <w:color w:val="3D3B39"/>
          <w:lang w:eastAsia="it-IT"/>
        </w:rPr>
        <w:t>reiettive</w:t>
      </w:r>
      <w:proofErr w:type="spellEnd"/>
      <w:r w:rsidRPr="008B3F4B">
        <w:rPr>
          <w:rFonts w:asciiTheme="minorHAnsi" w:eastAsia="Times New Roman" w:hAnsiTheme="minorHAnsi" w:cstheme="minorHAnsi"/>
          <w:color w:val="3D3B39"/>
          <w:lang w:eastAsia="it-IT"/>
        </w:rPr>
        <w:t xml:space="preserve">: </w:t>
      </w:r>
      <w:r w:rsidRPr="008B3F4B">
        <w:rPr>
          <w:rFonts w:asciiTheme="minorHAnsi" w:eastAsia="Times New Roman" w:hAnsiTheme="minorHAnsi" w:cstheme="minorHAnsi"/>
          <w:color w:val="3D3B39"/>
          <w:lang w:eastAsia="it-IT"/>
        </w:rPr>
        <w:br/>
        <w:t xml:space="preserve">- quanto alla presunta illegittimità della trasmissione degli atti a comprova dei requisiti di partecipazione alla gara (inoltrati a mezzo </w:t>
      </w:r>
      <w:proofErr w:type="spellStart"/>
      <w:r w:rsidRPr="008B3F4B">
        <w:rPr>
          <w:rFonts w:asciiTheme="minorHAnsi" w:eastAsia="Times New Roman" w:hAnsiTheme="minorHAnsi" w:cstheme="minorHAnsi"/>
          <w:color w:val="3D3B39"/>
          <w:lang w:eastAsia="it-IT"/>
        </w:rPr>
        <w:t>p.e.c</w:t>
      </w:r>
      <w:proofErr w:type="spellEnd"/>
      <w:r w:rsidRPr="008B3F4B">
        <w:rPr>
          <w:rFonts w:asciiTheme="minorHAnsi" w:eastAsia="Times New Roman" w:hAnsiTheme="minorHAnsi" w:cstheme="minorHAnsi"/>
          <w:color w:val="3D3B39"/>
          <w:lang w:eastAsia="it-IT"/>
        </w:rPr>
        <w:t xml:space="preserve">. e non con sistema </w:t>
      </w:r>
      <w:proofErr w:type="spellStart"/>
      <w:r w:rsidRPr="008B3F4B">
        <w:rPr>
          <w:rFonts w:asciiTheme="minorHAnsi" w:eastAsia="Times New Roman" w:hAnsiTheme="minorHAnsi" w:cstheme="minorHAnsi"/>
          <w:color w:val="3D3B39"/>
          <w:lang w:eastAsia="it-IT"/>
        </w:rPr>
        <w:t>AVCpass</w:t>
      </w:r>
      <w:proofErr w:type="spellEnd"/>
      <w:r w:rsidRPr="008B3F4B">
        <w:rPr>
          <w:rFonts w:asciiTheme="minorHAnsi" w:eastAsia="Times New Roman" w:hAnsiTheme="minorHAnsi" w:cstheme="minorHAnsi"/>
          <w:color w:val="3D3B39"/>
          <w:lang w:eastAsia="it-IT"/>
        </w:rPr>
        <w:t xml:space="preserve"> come prescritto dal disciplinare di gara), rileva il Collegio che il raggruppamento si è legittimamente avvalso di una facoltà concessa dalla stazione appaltante con nota del 4.9.2018 per l’ipotesi di eventuali problemi nel funzionamento del sistema </w:t>
      </w:r>
      <w:proofErr w:type="spellStart"/>
      <w:r w:rsidRPr="008B3F4B">
        <w:rPr>
          <w:rFonts w:asciiTheme="minorHAnsi" w:eastAsia="Times New Roman" w:hAnsiTheme="minorHAnsi" w:cstheme="minorHAnsi"/>
          <w:color w:val="3D3B39"/>
          <w:lang w:eastAsia="it-IT"/>
        </w:rPr>
        <w:t>AVCpass</w:t>
      </w:r>
      <w:proofErr w:type="spellEnd"/>
      <w:r w:rsidRPr="008B3F4B">
        <w:rPr>
          <w:rFonts w:asciiTheme="minorHAnsi" w:eastAsia="Times New Roman" w:hAnsiTheme="minorHAnsi" w:cstheme="minorHAnsi"/>
          <w:color w:val="3D3B39"/>
          <w:lang w:eastAsia="it-IT"/>
        </w:rPr>
        <w:t xml:space="preserve">, inoltre non risulta che la diversa modalità di trasmissione abbia impedito all’amministrazione di procedere alle verifiche di competenza con conseguente operatività del principio del raggiungimento dello scopo; </w:t>
      </w:r>
      <w:r w:rsidRPr="008B3F4B">
        <w:rPr>
          <w:rFonts w:asciiTheme="minorHAnsi" w:eastAsia="Times New Roman" w:hAnsiTheme="minorHAnsi" w:cstheme="minorHAnsi"/>
          <w:color w:val="3D3B39"/>
          <w:lang w:eastAsia="it-IT"/>
        </w:rPr>
        <w:br/>
        <w:t xml:space="preserve">- in ordine alla carenza del requisito speso dal </w:t>
      </w:r>
      <w:proofErr w:type="spellStart"/>
      <w:r w:rsidRPr="008B3F4B">
        <w:rPr>
          <w:rFonts w:asciiTheme="minorHAnsi" w:eastAsia="Times New Roman" w:hAnsiTheme="minorHAnsi" w:cstheme="minorHAnsi"/>
          <w:color w:val="3D3B39"/>
          <w:lang w:eastAsia="it-IT"/>
        </w:rPr>
        <w:t>r.t.i</w:t>
      </w:r>
      <w:proofErr w:type="spellEnd"/>
      <w:r w:rsidRPr="008B3F4B">
        <w:rPr>
          <w:rFonts w:asciiTheme="minorHAnsi" w:eastAsia="Times New Roman" w:hAnsiTheme="minorHAnsi" w:cstheme="minorHAnsi"/>
          <w:color w:val="3D3B39"/>
          <w:lang w:eastAsia="it-IT"/>
        </w:rPr>
        <w:t>. aggiudicatario circa la </w:t>
      </w:r>
      <w:r w:rsidRPr="008B3F4B">
        <w:rPr>
          <w:rFonts w:asciiTheme="minorHAnsi" w:eastAsia="Times New Roman" w:hAnsiTheme="minorHAnsi" w:cstheme="minorHAnsi"/>
          <w:i/>
          <w:iCs/>
          <w:color w:val="3D3B39"/>
          <w:lang w:eastAsia="it-IT"/>
        </w:rPr>
        <w:t xml:space="preserve">“Realizzazione di un impianto di compostaggio per il trattamento della FORSU prodotta dai Comuni soci della </w:t>
      </w:r>
      <w:proofErr w:type="spellStart"/>
      <w:r w:rsidRPr="008B3F4B">
        <w:rPr>
          <w:rFonts w:asciiTheme="minorHAnsi" w:eastAsia="Times New Roman" w:hAnsiTheme="minorHAnsi" w:cstheme="minorHAnsi"/>
          <w:i/>
          <w:iCs/>
          <w:color w:val="3D3B39"/>
          <w:lang w:eastAsia="it-IT"/>
        </w:rPr>
        <w:t>Ecolan</w:t>
      </w:r>
      <w:proofErr w:type="spellEnd"/>
      <w:r w:rsidRPr="008B3F4B">
        <w:rPr>
          <w:rFonts w:asciiTheme="minorHAnsi" w:eastAsia="Times New Roman" w:hAnsiTheme="minorHAnsi" w:cstheme="minorHAnsi"/>
          <w:i/>
          <w:iCs/>
          <w:color w:val="3D3B39"/>
          <w:lang w:eastAsia="it-IT"/>
        </w:rPr>
        <w:t xml:space="preserve"> Spa” </w:t>
      </w:r>
      <w:r w:rsidRPr="008B3F4B">
        <w:rPr>
          <w:rFonts w:asciiTheme="minorHAnsi" w:eastAsia="Times New Roman" w:hAnsiTheme="minorHAnsi" w:cstheme="minorHAnsi"/>
          <w:color w:val="3D3B39"/>
          <w:lang w:eastAsia="it-IT"/>
        </w:rPr>
        <w:t xml:space="preserve">(cfr. DGUE di OMISSIS s.r.l., pag. 15), il prospettato difetto di legittimazione del soggetto che ha sottoscritto il certificato di esecuzione non comprova l’inattendibilità del documento sotto il profilo dell’effettivo svolgimento del servizio dichiarato considerato anche che, come dedotto dalla difesa della parte controinteressato, all’epoca di svolgimento di tale attività (2012) il sottoscrittore rivestiva la qualità di direttore tecnico della </w:t>
      </w:r>
      <w:proofErr w:type="spellStart"/>
      <w:r w:rsidRPr="008B3F4B">
        <w:rPr>
          <w:rFonts w:asciiTheme="minorHAnsi" w:eastAsia="Times New Roman" w:hAnsiTheme="minorHAnsi" w:cstheme="minorHAnsi"/>
          <w:color w:val="3D3B39"/>
          <w:lang w:eastAsia="it-IT"/>
        </w:rPr>
        <w:t>Ecolan</w:t>
      </w:r>
      <w:proofErr w:type="spellEnd"/>
      <w:r w:rsidRPr="008B3F4B">
        <w:rPr>
          <w:rFonts w:asciiTheme="minorHAnsi" w:eastAsia="Times New Roman" w:hAnsiTheme="minorHAnsi" w:cstheme="minorHAnsi"/>
          <w:color w:val="3D3B39"/>
          <w:lang w:eastAsia="it-IT"/>
        </w:rPr>
        <w:t xml:space="preserve"> </w:t>
      </w:r>
      <w:proofErr w:type="spellStart"/>
      <w:r w:rsidRPr="008B3F4B">
        <w:rPr>
          <w:rFonts w:asciiTheme="minorHAnsi" w:eastAsia="Times New Roman" w:hAnsiTheme="minorHAnsi" w:cstheme="minorHAnsi"/>
          <w:color w:val="3D3B39"/>
          <w:lang w:eastAsia="it-IT"/>
        </w:rPr>
        <w:t>s.p.a.</w:t>
      </w:r>
      <w:proofErr w:type="spellEnd"/>
      <w:r w:rsidRPr="008B3F4B">
        <w:rPr>
          <w:rFonts w:asciiTheme="minorHAnsi" w:eastAsia="Times New Roman" w:hAnsiTheme="minorHAnsi" w:cstheme="minorHAnsi"/>
          <w:color w:val="3D3B39"/>
          <w:lang w:eastAsia="it-IT"/>
        </w:rPr>
        <w:t xml:space="preserve"> e, quindi, aveva cognizione diretta della circostanza attestata; </w:t>
      </w:r>
      <w:r w:rsidRPr="008B3F4B">
        <w:rPr>
          <w:rFonts w:asciiTheme="minorHAnsi" w:eastAsia="Times New Roman" w:hAnsiTheme="minorHAnsi" w:cstheme="minorHAnsi"/>
          <w:color w:val="3D3B39"/>
          <w:lang w:eastAsia="it-IT"/>
        </w:rPr>
        <w:br/>
        <w:t>- quanto alla </w:t>
      </w:r>
      <w:r w:rsidRPr="008B3F4B">
        <w:rPr>
          <w:rFonts w:asciiTheme="minorHAnsi" w:eastAsia="Times New Roman" w:hAnsiTheme="minorHAnsi" w:cstheme="minorHAnsi"/>
          <w:i/>
          <w:iCs/>
          <w:color w:val="3D3B39"/>
          <w:lang w:eastAsia="it-IT"/>
        </w:rPr>
        <w:t>“Realizzazione dell’impianto di termovalorizzazione di Acerra – direzione lavori”</w:t>
      </w:r>
      <w:r w:rsidRPr="008B3F4B">
        <w:rPr>
          <w:rFonts w:asciiTheme="minorHAnsi" w:eastAsia="Times New Roman" w:hAnsiTheme="minorHAnsi" w:cstheme="minorHAnsi"/>
          <w:color w:val="3D3B39"/>
          <w:lang w:eastAsia="it-IT"/>
        </w:rPr>
        <w:t xml:space="preserve"> (cfr. DGUE di OMISSIS s.r.l., pag. 15), i rilievi delle ricorrenti si infrangono contro le risultanze documentali in atti che comprovano lo svolgimento dell’incarico di direzione dei lavori conferito da </w:t>
      </w:r>
      <w:proofErr w:type="spellStart"/>
      <w:r w:rsidRPr="008B3F4B">
        <w:rPr>
          <w:rFonts w:asciiTheme="minorHAnsi" w:eastAsia="Times New Roman" w:hAnsiTheme="minorHAnsi" w:cstheme="minorHAnsi"/>
          <w:color w:val="3D3B39"/>
          <w:lang w:eastAsia="it-IT"/>
        </w:rPr>
        <w:t>Fibe</w:t>
      </w:r>
      <w:proofErr w:type="spellEnd"/>
      <w:r w:rsidRPr="008B3F4B">
        <w:rPr>
          <w:rFonts w:asciiTheme="minorHAnsi" w:eastAsia="Times New Roman" w:hAnsiTheme="minorHAnsi" w:cstheme="minorHAnsi"/>
          <w:color w:val="3D3B39"/>
          <w:lang w:eastAsia="it-IT"/>
        </w:rPr>
        <w:t xml:space="preserve"> </w:t>
      </w:r>
      <w:proofErr w:type="spellStart"/>
      <w:r w:rsidRPr="008B3F4B">
        <w:rPr>
          <w:rFonts w:asciiTheme="minorHAnsi" w:eastAsia="Times New Roman" w:hAnsiTheme="minorHAnsi" w:cstheme="minorHAnsi"/>
          <w:color w:val="3D3B39"/>
          <w:lang w:eastAsia="it-IT"/>
        </w:rPr>
        <w:t>s.p.a.</w:t>
      </w:r>
      <w:proofErr w:type="spellEnd"/>
      <w:r w:rsidRPr="008B3F4B">
        <w:rPr>
          <w:rFonts w:asciiTheme="minorHAnsi" w:eastAsia="Times New Roman" w:hAnsiTheme="minorHAnsi" w:cstheme="minorHAnsi"/>
          <w:color w:val="3D3B39"/>
          <w:lang w:eastAsia="it-IT"/>
        </w:rPr>
        <w:t xml:space="preserve"> ed indicato dall’operatore (cfr. documentazione depositata da OMISSIS in data 1.2.2019, allegato 2, pag. 20 e seguenti, verbale di ultimazione dei lavori e a pag. 32 collaudo delle opere; documentazione depositata da OMISSIS in data 26.3.2019, allegato n. 4, pag. 4 e seguenti); </w:t>
      </w:r>
      <w:r w:rsidRPr="008B3F4B">
        <w:rPr>
          <w:rFonts w:asciiTheme="minorHAnsi" w:eastAsia="Times New Roman" w:hAnsiTheme="minorHAnsi" w:cstheme="minorHAnsi"/>
          <w:color w:val="3D3B39"/>
          <w:lang w:eastAsia="it-IT"/>
        </w:rPr>
        <w:br/>
        <w:t>- in ordine ai servizi denominati </w:t>
      </w:r>
      <w:r w:rsidRPr="008B3F4B">
        <w:rPr>
          <w:rFonts w:asciiTheme="minorHAnsi" w:eastAsia="Times New Roman" w:hAnsiTheme="minorHAnsi" w:cstheme="minorHAnsi"/>
          <w:i/>
          <w:iCs/>
          <w:color w:val="3D3B39"/>
          <w:lang w:eastAsia="it-IT"/>
        </w:rPr>
        <w:t>“Grande progetto – risanamento ambientale e valorizzazione dei Regi Lagni ‘</w:t>
      </w:r>
      <w:proofErr w:type="spellStart"/>
      <w:r w:rsidRPr="008B3F4B">
        <w:rPr>
          <w:rFonts w:asciiTheme="minorHAnsi" w:eastAsia="Times New Roman" w:hAnsiTheme="minorHAnsi" w:cstheme="minorHAnsi"/>
          <w:i/>
          <w:iCs/>
          <w:color w:val="3D3B39"/>
          <w:lang w:eastAsia="it-IT"/>
        </w:rPr>
        <w:t>Rifunzionalizzazione</w:t>
      </w:r>
      <w:proofErr w:type="spellEnd"/>
      <w:r w:rsidRPr="008B3F4B">
        <w:rPr>
          <w:rFonts w:asciiTheme="minorHAnsi" w:eastAsia="Times New Roman" w:hAnsiTheme="minorHAnsi" w:cstheme="minorHAnsi"/>
          <w:i/>
          <w:iCs/>
          <w:color w:val="3D3B39"/>
          <w:lang w:eastAsia="it-IT"/>
        </w:rPr>
        <w:t xml:space="preserve"> ed adeguamento delle sezioni di trattamento dell’impianto di depurazione </w:t>
      </w:r>
      <w:proofErr w:type="spellStart"/>
      <w:r w:rsidRPr="008B3F4B">
        <w:rPr>
          <w:rFonts w:asciiTheme="minorHAnsi" w:eastAsia="Times New Roman" w:hAnsiTheme="minorHAnsi" w:cstheme="minorHAnsi"/>
          <w:i/>
          <w:iCs/>
          <w:color w:val="3D3B39"/>
          <w:lang w:eastAsia="it-IT"/>
        </w:rPr>
        <w:t>Cuma</w:t>
      </w:r>
      <w:proofErr w:type="spellEnd"/>
      <w:r w:rsidRPr="008B3F4B">
        <w:rPr>
          <w:rFonts w:asciiTheme="minorHAnsi" w:eastAsia="Times New Roman" w:hAnsiTheme="minorHAnsi" w:cstheme="minorHAnsi"/>
          <w:i/>
          <w:iCs/>
          <w:color w:val="3D3B39"/>
          <w:lang w:eastAsia="it-IT"/>
        </w:rPr>
        <w:t xml:space="preserve"> – progettazione definitiva’</w:t>
      </w:r>
      <w:r w:rsidRPr="008B3F4B">
        <w:rPr>
          <w:rFonts w:asciiTheme="minorHAnsi" w:eastAsia="Times New Roman" w:hAnsiTheme="minorHAnsi" w:cstheme="minorHAnsi"/>
          <w:color w:val="3D3B39"/>
          <w:lang w:eastAsia="it-IT"/>
        </w:rPr>
        <w:t>; </w:t>
      </w:r>
      <w:r w:rsidRPr="008B3F4B">
        <w:rPr>
          <w:rFonts w:asciiTheme="minorHAnsi" w:eastAsia="Times New Roman" w:hAnsiTheme="minorHAnsi" w:cstheme="minorHAnsi"/>
          <w:i/>
          <w:iCs/>
          <w:color w:val="3D3B39"/>
          <w:lang w:eastAsia="it-IT"/>
        </w:rPr>
        <w:t>“Grande progetto – risanamento ambientale e valorizzazione dei Regi Lagni ‘</w:t>
      </w:r>
      <w:proofErr w:type="spellStart"/>
      <w:r w:rsidRPr="008B3F4B">
        <w:rPr>
          <w:rFonts w:asciiTheme="minorHAnsi" w:eastAsia="Times New Roman" w:hAnsiTheme="minorHAnsi" w:cstheme="minorHAnsi"/>
          <w:i/>
          <w:iCs/>
          <w:color w:val="3D3B39"/>
          <w:lang w:eastAsia="it-IT"/>
        </w:rPr>
        <w:t>Rifunzionalizzazione</w:t>
      </w:r>
      <w:proofErr w:type="spellEnd"/>
      <w:r w:rsidRPr="008B3F4B">
        <w:rPr>
          <w:rFonts w:asciiTheme="minorHAnsi" w:eastAsia="Times New Roman" w:hAnsiTheme="minorHAnsi" w:cstheme="minorHAnsi"/>
          <w:i/>
          <w:iCs/>
          <w:color w:val="3D3B39"/>
          <w:lang w:eastAsia="it-IT"/>
        </w:rPr>
        <w:t xml:space="preserve"> ed adeguamento delle sezioni di depurazione di </w:t>
      </w:r>
      <w:proofErr w:type="spellStart"/>
      <w:r w:rsidRPr="008B3F4B">
        <w:rPr>
          <w:rFonts w:asciiTheme="minorHAnsi" w:eastAsia="Times New Roman" w:hAnsiTheme="minorHAnsi" w:cstheme="minorHAnsi"/>
          <w:i/>
          <w:iCs/>
          <w:color w:val="3D3B39"/>
          <w:lang w:eastAsia="it-IT"/>
        </w:rPr>
        <w:t>Cuma</w:t>
      </w:r>
      <w:proofErr w:type="spellEnd"/>
      <w:r w:rsidRPr="008B3F4B">
        <w:rPr>
          <w:rFonts w:asciiTheme="minorHAnsi" w:eastAsia="Times New Roman" w:hAnsiTheme="minorHAnsi" w:cstheme="minorHAnsi"/>
          <w:i/>
          <w:iCs/>
          <w:color w:val="3D3B39"/>
          <w:lang w:eastAsia="it-IT"/>
        </w:rPr>
        <w:t xml:space="preserve"> – progettazione esecutiva’”</w:t>
      </w:r>
      <w:r w:rsidRPr="008B3F4B">
        <w:rPr>
          <w:rFonts w:asciiTheme="minorHAnsi" w:eastAsia="Times New Roman" w:hAnsiTheme="minorHAnsi" w:cstheme="minorHAnsi"/>
          <w:color w:val="3D3B39"/>
          <w:lang w:eastAsia="it-IT"/>
        </w:rPr>
        <w:t> e </w:t>
      </w:r>
      <w:r w:rsidRPr="008B3F4B">
        <w:rPr>
          <w:rFonts w:asciiTheme="minorHAnsi" w:eastAsia="Times New Roman" w:hAnsiTheme="minorHAnsi" w:cstheme="minorHAnsi"/>
          <w:i/>
          <w:iCs/>
          <w:color w:val="3D3B39"/>
          <w:lang w:eastAsia="it-IT"/>
        </w:rPr>
        <w:t>“Grande progetto – risanamento ambientale e valorizzazione dei Regi Lagni ‘</w:t>
      </w:r>
      <w:proofErr w:type="spellStart"/>
      <w:r w:rsidRPr="008B3F4B">
        <w:rPr>
          <w:rFonts w:asciiTheme="minorHAnsi" w:eastAsia="Times New Roman" w:hAnsiTheme="minorHAnsi" w:cstheme="minorHAnsi"/>
          <w:i/>
          <w:iCs/>
          <w:color w:val="3D3B39"/>
          <w:lang w:eastAsia="it-IT"/>
        </w:rPr>
        <w:t>rifunzionalizzazione</w:t>
      </w:r>
      <w:proofErr w:type="spellEnd"/>
      <w:r w:rsidRPr="008B3F4B">
        <w:rPr>
          <w:rFonts w:asciiTheme="minorHAnsi" w:eastAsia="Times New Roman" w:hAnsiTheme="minorHAnsi" w:cstheme="minorHAnsi"/>
          <w:i/>
          <w:iCs/>
          <w:color w:val="3D3B39"/>
          <w:lang w:eastAsia="it-IT"/>
        </w:rPr>
        <w:t xml:space="preserve"> ed adeguamento delle sezioni di trattamento dell’impianto di depurazione di Napoli Nord - progettazione definitiva’” </w:t>
      </w:r>
      <w:r w:rsidRPr="008B3F4B">
        <w:rPr>
          <w:rFonts w:asciiTheme="minorHAnsi" w:eastAsia="Times New Roman" w:hAnsiTheme="minorHAnsi" w:cstheme="minorHAnsi"/>
          <w:color w:val="3D3B39"/>
          <w:lang w:eastAsia="it-IT"/>
        </w:rPr>
        <w:t xml:space="preserve">(cfr. DGUE di OMISSIS s.r.l., </w:t>
      </w:r>
      <w:proofErr w:type="spellStart"/>
      <w:r w:rsidRPr="008B3F4B">
        <w:rPr>
          <w:rFonts w:asciiTheme="minorHAnsi" w:eastAsia="Times New Roman" w:hAnsiTheme="minorHAnsi" w:cstheme="minorHAnsi"/>
          <w:color w:val="3D3B39"/>
          <w:lang w:eastAsia="it-IT"/>
        </w:rPr>
        <w:t>pagg</w:t>
      </w:r>
      <w:proofErr w:type="spellEnd"/>
      <w:r w:rsidRPr="008B3F4B">
        <w:rPr>
          <w:rFonts w:asciiTheme="minorHAnsi" w:eastAsia="Times New Roman" w:hAnsiTheme="minorHAnsi" w:cstheme="minorHAnsi"/>
          <w:color w:val="3D3B39"/>
          <w:lang w:eastAsia="it-IT"/>
        </w:rPr>
        <w:t xml:space="preserve">. 15 e 16), vanno respinti i rilievi formulati dalle ricorrenti che contestano l’effettivo svolgimento dei servizi di progettazione definitiva ed esecutiva </w:t>
      </w:r>
      <w:r w:rsidRPr="008B3F4B">
        <w:rPr>
          <w:rFonts w:asciiTheme="minorHAnsi" w:eastAsia="Times New Roman" w:hAnsiTheme="minorHAnsi" w:cstheme="minorHAnsi"/>
          <w:color w:val="3D3B39"/>
          <w:lang w:eastAsia="it-IT"/>
        </w:rPr>
        <w:lastRenderedPageBreak/>
        <w:t xml:space="preserve">dichiarati, alla luce del contenuto delle attestazioni rilasciate dalla Regione Campania alle quali deve riconoscersi efficacia </w:t>
      </w:r>
      <w:proofErr w:type="spellStart"/>
      <w:r w:rsidRPr="008B3F4B">
        <w:rPr>
          <w:rFonts w:asciiTheme="minorHAnsi" w:eastAsia="Times New Roman" w:hAnsiTheme="minorHAnsi" w:cstheme="minorHAnsi"/>
          <w:color w:val="3D3B39"/>
          <w:lang w:eastAsia="it-IT"/>
        </w:rPr>
        <w:t>fidefacente</w:t>
      </w:r>
      <w:proofErr w:type="spellEnd"/>
      <w:r w:rsidRPr="008B3F4B">
        <w:rPr>
          <w:rFonts w:asciiTheme="minorHAnsi" w:eastAsia="Times New Roman" w:hAnsiTheme="minorHAnsi" w:cstheme="minorHAnsi"/>
          <w:color w:val="3D3B39"/>
          <w:lang w:eastAsia="it-IT"/>
        </w:rPr>
        <w:t xml:space="preserve"> che dimostrano l’effettuazione dei servizi (documenti acquisiti in sede di accesso e depositati da OMISSIS </w:t>
      </w:r>
      <w:proofErr w:type="spellStart"/>
      <w:r w:rsidRPr="008B3F4B">
        <w:rPr>
          <w:rFonts w:asciiTheme="minorHAnsi" w:eastAsia="Times New Roman" w:hAnsiTheme="minorHAnsi" w:cstheme="minorHAnsi"/>
          <w:color w:val="3D3B39"/>
          <w:lang w:eastAsia="it-IT"/>
        </w:rPr>
        <w:t>s.p.a.</w:t>
      </w:r>
      <w:proofErr w:type="spellEnd"/>
      <w:r w:rsidRPr="008B3F4B">
        <w:rPr>
          <w:rFonts w:asciiTheme="minorHAnsi" w:eastAsia="Times New Roman" w:hAnsiTheme="minorHAnsi" w:cstheme="minorHAnsi"/>
          <w:color w:val="3D3B39"/>
          <w:lang w:eastAsia="it-IT"/>
        </w:rPr>
        <w:t xml:space="preserve"> in data 16.1.2019, allegato n. 2, </w:t>
      </w:r>
      <w:proofErr w:type="spellStart"/>
      <w:r w:rsidRPr="008B3F4B">
        <w:rPr>
          <w:rFonts w:asciiTheme="minorHAnsi" w:eastAsia="Times New Roman" w:hAnsiTheme="minorHAnsi" w:cstheme="minorHAnsi"/>
          <w:color w:val="3D3B39"/>
          <w:lang w:eastAsia="it-IT"/>
        </w:rPr>
        <w:t>pagg</w:t>
      </w:r>
      <w:proofErr w:type="spellEnd"/>
      <w:r w:rsidRPr="008B3F4B">
        <w:rPr>
          <w:rFonts w:asciiTheme="minorHAnsi" w:eastAsia="Times New Roman" w:hAnsiTheme="minorHAnsi" w:cstheme="minorHAnsi"/>
          <w:color w:val="3D3B39"/>
          <w:lang w:eastAsia="it-IT"/>
        </w:rPr>
        <w:t xml:space="preserve">. 38 e 39; documento depositato da OMISSIS s.r.l. in data 27.3.2019, allegato n. 13), tenuto conto anche della genericità delle contestazioni attoree, prive di riscontri documentali; </w:t>
      </w:r>
      <w:r w:rsidRPr="008B3F4B">
        <w:rPr>
          <w:rFonts w:asciiTheme="minorHAnsi" w:eastAsia="Times New Roman" w:hAnsiTheme="minorHAnsi" w:cstheme="minorHAnsi"/>
          <w:color w:val="3D3B39"/>
          <w:lang w:eastAsia="it-IT"/>
        </w:rPr>
        <w:br/>
        <w:t>- con riferimento all’attività dichiarata da OMISSIS s.r.l. (DGUE, Allegato A) di seguito indicata </w:t>
      </w:r>
      <w:r w:rsidRPr="008B3F4B">
        <w:rPr>
          <w:rFonts w:asciiTheme="minorHAnsi" w:eastAsia="Times New Roman" w:hAnsiTheme="minorHAnsi" w:cstheme="minorHAnsi"/>
          <w:i/>
          <w:iCs/>
          <w:color w:val="3D3B39"/>
          <w:lang w:eastAsia="it-IT"/>
        </w:rPr>
        <w:t>“impianto di trattamento recupero rifiuti (</w:t>
      </w:r>
      <w:proofErr w:type="spellStart"/>
      <w:r w:rsidRPr="008B3F4B">
        <w:rPr>
          <w:rFonts w:asciiTheme="minorHAnsi" w:eastAsia="Times New Roman" w:hAnsiTheme="minorHAnsi" w:cstheme="minorHAnsi"/>
          <w:i/>
          <w:iCs/>
          <w:color w:val="3D3B39"/>
          <w:lang w:eastAsia="it-IT"/>
        </w:rPr>
        <w:t>loc</w:t>
      </w:r>
      <w:proofErr w:type="spellEnd"/>
      <w:r w:rsidRPr="008B3F4B">
        <w:rPr>
          <w:rFonts w:asciiTheme="minorHAnsi" w:eastAsia="Times New Roman" w:hAnsiTheme="minorHAnsi" w:cstheme="minorHAnsi"/>
          <w:i/>
          <w:iCs/>
          <w:color w:val="3D3B39"/>
          <w:lang w:eastAsia="it-IT"/>
        </w:rPr>
        <w:t>. Pian del Vantaggio) – 35/A Orvieto (TR), adeguamento sistema di raccolta acque di processo e smaltimento, acque meteoriche, progettazione esecutiva, sicurezza in fase di progettazione, direzione dei lavori, sicurezza in fase di esecuzione, misura e contabilità dei lavori”</w:t>
      </w:r>
      <w:r w:rsidRPr="008B3F4B">
        <w:rPr>
          <w:rFonts w:asciiTheme="minorHAnsi" w:eastAsia="Times New Roman" w:hAnsiTheme="minorHAnsi" w:cstheme="minorHAnsi"/>
          <w:color w:val="3D3B39"/>
          <w:lang w:eastAsia="it-IT"/>
        </w:rPr>
        <w:t xml:space="preserve">, risulta versato agli atti di causa il certificato di esecuzione che comprova lo svolgimento del servizio (documenti depositati dalla parte </w:t>
      </w:r>
      <w:proofErr w:type="spellStart"/>
      <w:r w:rsidRPr="008B3F4B">
        <w:rPr>
          <w:rFonts w:asciiTheme="minorHAnsi" w:eastAsia="Times New Roman" w:hAnsiTheme="minorHAnsi" w:cstheme="minorHAnsi"/>
          <w:color w:val="3D3B39"/>
          <w:lang w:eastAsia="it-IT"/>
        </w:rPr>
        <w:t>controinteressata</w:t>
      </w:r>
      <w:proofErr w:type="spellEnd"/>
      <w:r w:rsidRPr="008B3F4B">
        <w:rPr>
          <w:rFonts w:asciiTheme="minorHAnsi" w:eastAsia="Times New Roman" w:hAnsiTheme="minorHAnsi" w:cstheme="minorHAnsi"/>
          <w:color w:val="3D3B39"/>
          <w:lang w:eastAsia="it-IT"/>
        </w:rPr>
        <w:t xml:space="preserve"> in data 26.3.2019); </w:t>
      </w:r>
      <w:r w:rsidRPr="008B3F4B">
        <w:rPr>
          <w:rFonts w:asciiTheme="minorHAnsi" w:eastAsia="Times New Roman" w:hAnsiTheme="minorHAnsi" w:cstheme="minorHAnsi"/>
          <w:color w:val="3D3B39"/>
          <w:lang w:eastAsia="it-IT"/>
        </w:rPr>
        <w:br/>
        <w:t>- riguardo all’attività denominata </w:t>
      </w:r>
      <w:r w:rsidRPr="008B3F4B">
        <w:rPr>
          <w:rFonts w:asciiTheme="minorHAnsi" w:eastAsia="Times New Roman" w:hAnsiTheme="minorHAnsi" w:cstheme="minorHAnsi"/>
          <w:i/>
          <w:iCs/>
          <w:color w:val="3D3B39"/>
          <w:lang w:eastAsia="it-IT"/>
        </w:rPr>
        <w:t xml:space="preserve">“Discarica di Orvieto - Impianto di trattamento e recupero rifiuti, </w:t>
      </w:r>
      <w:proofErr w:type="spellStart"/>
      <w:r w:rsidRPr="008B3F4B">
        <w:rPr>
          <w:rFonts w:asciiTheme="minorHAnsi" w:eastAsia="Times New Roman" w:hAnsiTheme="minorHAnsi" w:cstheme="minorHAnsi"/>
          <w:i/>
          <w:iCs/>
          <w:color w:val="3D3B39"/>
          <w:lang w:eastAsia="it-IT"/>
        </w:rPr>
        <w:t>loc</w:t>
      </w:r>
      <w:proofErr w:type="spellEnd"/>
      <w:r w:rsidRPr="008B3F4B">
        <w:rPr>
          <w:rFonts w:asciiTheme="minorHAnsi" w:eastAsia="Times New Roman" w:hAnsiTheme="minorHAnsi" w:cstheme="minorHAnsi"/>
          <w:i/>
          <w:iCs/>
          <w:color w:val="3D3B39"/>
          <w:lang w:eastAsia="it-IT"/>
        </w:rPr>
        <w:t>. Pian del Vantaggio 35/A – Orvieto (TR) – interventi di manutenzione ordinaria in corrispondenza del piazzale di ricezione RSU e dell’uscita FSC da pressa” </w:t>
      </w:r>
      <w:r w:rsidRPr="008B3F4B">
        <w:rPr>
          <w:rFonts w:asciiTheme="minorHAnsi" w:eastAsia="Times New Roman" w:hAnsiTheme="minorHAnsi" w:cstheme="minorHAnsi"/>
          <w:color w:val="3D3B39"/>
          <w:lang w:eastAsia="it-IT"/>
        </w:rPr>
        <w:t xml:space="preserve">(DGUE di OMISSIS s.r.l., Allegato A), la censura è inconferente alla luce della deduzione svolta dalla parte resistente, non puntualmente confutata dalla ricorrente, che afferma di non aver reso alcun certificato di esecuzione non essendosi avvalsa del servizio; </w:t>
      </w:r>
      <w:r w:rsidRPr="008B3F4B">
        <w:rPr>
          <w:rFonts w:asciiTheme="minorHAnsi" w:eastAsia="Times New Roman" w:hAnsiTheme="minorHAnsi" w:cstheme="minorHAnsi"/>
          <w:color w:val="3D3B39"/>
          <w:lang w:eastAsia="it-IT"/>
        </w:rPr>
        <w:br/>
        <w:t xml:space="preserve">- l’inconsistenza dei rilievi che riguardano i requisiti tecnico – professionali delle società Quantica e OMISSIS conduce altresì al rigetto della censura, peraltro genericamente formulata, con cui le ricorrenti assumono la mancata corrispondenza dei requisiti (dalle medesime ritenuti infondatamente insussistenti) delle predette imprese rispetto alle relative quote di esecuzione dell’appalto; </w:t>
      </w:r>
      <w:r w:rsidRPr="008B3F4B">
        <w:rPr>
          <w:rFonts w:asciiTheme="minorHAnsi" w:eastAsia="Times New Roman" w:hAnsiTheme="minorHAnsi" w:cstheme="minorHAnsi"/>
          <w:color w:val="3D3B39"/>
          <w:lang w:eastAsia="it-IT"/>
        </w:rPr>
        <w:br/>
        <w:t xml:space="preserve">- infine non hanno efficacia invalidante le carenze evidenziate dalle ricorrenti in ordine alla mancata allegazione da parte del </w:t>
      </w:r>
      <w:proofErr w:type="spellStart"/>
      <w:r w:rsidRPr="008B3F4B">
        <w:rPr>
          <w:rFonts w:asciiTheme="minorHAnsi" w:eastAsia="Times New Roman" w:hAnsiTheme="minorHAnsi" w:cstheme="minorHAnsi"/>
          <w:color w:val="3D3B39"/>
          <w:lang w:eastAsia="it-IT"/>
        </w:rPr>
        <w:t>r.t.i</w:t>
      </w:r>
      <w:proofErr w:type="spellEnd"/>
      <w:r w:rsidRPr="008B3F4B">
        <w:rPr>
          <w:rFonts w:asciiTheme="minorHAnsi" w:eastAsia="Times New Roman" w:hAnsiTheme="minorHAnsi" w:cstheme="minorHAnsi"/>
          <w:color w:val="3D3B39"/>
          <w:lang w:eastAsia="it-IT"/>
        </w:rPr>
        <w:t xml:space="preserve">. aggiudicatario dei contratti stipulati con alcuni professionisti, non risultando invero specificate le disposizioni di legge e di disciplinare </w:t>
      </w:r>
      <w:proofErr w:type="spellStart"/>
      <w:r w:rsidRPr="008B3F4B">
        <w:rPr>
          <w:rFonts w:asciiTheme="minorHAnsi" w:eastAsia="Times New Roman" w:hAnsiTheme="minorHAnsi" w:cstheme="minorHAnsi"/>
          <w:color w:val="3D3B39"/>
          <w:lang w:eastAsia="it-IT"/>
        </w:rPr>
        <w:t>asseritamente</w:t>
      </w:r>
      <w:proofErr w:type="spellEnd"/>
      <w:r w:rsidRPr="008B3F4B">
        <w:rPr>
          <w:rFonts w:asciiTheme="minorHAnsi" w:eastAsia="Times New Roman" w:hAnsiTheme="minorHAnsi" w:cstheme="minorHAnsi"/>
          <w:color w:val="3D3B39"/>
          <w:lang w:eastAsia="it-IT"/>
        </w:rPr>
        <w:t xml:space="preserve"> violate. </w:t>
      </w:r>
      <w:r w:rsidRPr="008B3F4B">
        <w:rPr>
          <w:rFonts w:asciiTheme="minorHAnsi" w:eastAsia="Times New Roman" w:hAnsiTheme="minorHAnsi" w:cstheme="minorHAnsi"/>
          <w:color w:val="3D3B39"/>
          <w:lang w:eastAsia="it-IT"/>
        </w:rPr>
        <w:br/>
        <w:t xml:space="preserve">10. In conclusione, le richiamate considerazioni conducono al rigetto del ricorso introduttivo e dei motivi aggiunti. </w:t>
      </w:r>
      <w:r w:rsidRPr="008B3F4B">
        <w:rPr>
          <w:rFonts w:asciiTheme="minorHAnsi" w:eastAsia="Times New Roman" w:hAnsiTheme="minorHAnsi" w:cstheme="minorHAnsi"/>
          <w:color w:val="3D3B39"/>
          <w:lang w:eastAsia="it-IT"/>
        </w:rPr>
        <w:br/>
        <w:t xml:space="preserve">11. Per l’effetto, ribadita la legittimità dell’impugnato provvedimento di aggiudicazione in favore del </w:t>
      </w:r>
      <w:proofErr w:type="spellStart"/>
      <w:r w:rsidRPr="008B3F4B">
        <w:rPr>
          <w:rFonts w:asciiTheme="minorHAnsi" w:eastAsia="Times New Roman" w:hAnsiTheme="minorHAnsi" w:cstheme="minorHAnsi"/>
          <w:color w:val="3D3B39"/>
          <w:lang w:eastAsia="it-IT"/>
        </w:rPr>
        <w:t>r.t.i</w:t>
      </w:r>
      <w:proofErr w:type="spellEnd"/>
      <w:r w:rsidRPr="008B3F4B">
        <w:rPr>
          <w:rFonts w:asciiTheme="minorHAnsi" w:eastAsia="Times New Roman" w:hAnsiTheme="minorHAnsi" w:cstheme="minorHAnsi"/>
          <w:color w:val="3D3B39"/>
          <w:lang w:eastAsia="it-IT"/>
        </w:rPr>
        <w:t xml:space="preserve">. OMISSIS s.r.l., non resta che dichiarare l’inammissibilità del gravame incidentale proposto dalle società </w:t>
      </w:r>
      <w:proofErr w:type="spellStart"/>
      <w:r w:rsidRPr="008B3F4B">
        <w:rPr>
          <w:rFonts w:asciiTheme="minorHAnsi" w:eastAsia="Times New Roman" w:hAnsiTheme="minorHAnsi" w:cstheme="minorHAnsi"/>
          <w:color w:val="3D3B39"/>
          <w:lang w:eastAsia="it-IT"/>
        </w:rPr>
        <w:t>controinteressate</w:t>
      </w:r>
      <w:proofErr w:type="spellEnd"/>
      <w:r w:rsidRPr="008B3F4B">
        <w:rPr>
          <w:rFonts w:asciiTheme="minorHAnsi" w:eastAsia="Times New Roman" w:hAnsiTheme="minorHAnsi" w:cstheme="minorHAnsi"/>
          <w:color w:val="3D3B39"/>
          <w:lang w:eastAsia="it-IT"/>
        </w:rPr>
        <w:t xml:space="preserve"> per carenza di interesse alla relativa decisione. </w:t>
      </w:r>
      <w:r w:rsidRPr="008B3F4B">
        <w:rPr>
          <w:rFonts w:asciiTheme="minorHAnsi" w:eastAsia="Times New Roman" w:hAnsiTheme="minorHAnsi" w:cstheme="minorHAnsi"/>
          <w:color w:val="3D3B39"/>
          <w:lang w:eastAsia="it-IT"/>
        </w:rPr>
        <w:br/>
        <w:t xml:space="preserve">Le questioni appena vagliate esauriscono la vicenda sottoposta alla Sezione, essendo stati toccati tutti gli aspetti rilevanti a norma dell’art. 112 </w:t>
      </w:r>
      <w:proofErr w:type="spellStart"/>
      <w:r w:rsidRPr="008B3F4B">
        <w:rPr>
          <w:rFonts w:asciiTheme="minorHAnsi" w:eastAsia="Times New Roman" w:hAnsiTheme="minorHAnsi" w:cstheme="minorHAnsi"/>
          <w:color w:val="3D3B39"/>
          <w:lang w:eastAsia="it-IT"/>
        </w:rPr>
        <w:t>c.p.c.</w:t>
      </w:r>
      <w:proofErr w:type="spellEnd"/>
      <w:r w:rsidRPr="008B3F4B">
        <w:rPr>
          <w:rFonts w:asciiTheme="minorHAnsi" w:eastAsia="Times New Roman" w:hAnsiTheme="minorHAnsi" w:cstheme="minorHAnsi"/>
          <w:color w:val="3D3B39"/>
          <w:lang w:eastAsia="it-IT"/>
        </w:rPr>
        <w:t xml:space="preserve">, in aderenza al principio sostanziale di corrispondenza tra il chiesto e pronunciato (Consiglio di Stato, Sez. IV, n. 3225/2017; n. 3229/2017; Cassazione civile, Sez. V, n. 7663/2012). Gli argomenti di doglianza non espressamente esaminati sono stati dal Collegio ritenuti non rilevanti ai fini della decisione e comunque inidonei a supportare una conclusione di tipo diverso. </w:t>
      </w:r>
      <w:r w:rsidRPr="008B3F4B">
        <w:rPr>
          <w:rFonts w:asciiTheme="minorHAnsi" w:eastAsia="Times New Roman" w:hAnsiTheme="minorHAnsi" w:cstheme="minorHAnsi"/>
          <w:color w:val="3D3B39"/>
          <w:lang w:eastAsia="it-IT"/>
        </w:rPr>
        <w:br/>
        <w:t xml:space="preserve">12. La regolazione delle spese di giudizio segue il principio della soccombenza di cui agli artt. 26 </w:t>
      </w:r>
      <w:proofErr w:type="spellStart"/>
      <w:r w:rsidRPr="008B3F4B">
        <w:rPr>
          <w:rFonts w:asciiTheme="minorHAnsi" w:eastAsia="Times New Roman" w:hAnsiTheme="minorHAnsi" w:cstheme="minorHAnsi"/>
          <w:color w:val="3D3B39"/>
          <w:lang w:eastAsia="it-IT"/>
        </w:rPr>
        <w:t>c.p.a</w:t>
      </w:r>
      <w:proofErr w:type="spellEnd"/>
      <w:r w:rsidRPr="008B3F4B">
        <w:rPr>
          <w:rFonts w:asciiTheme="minorHAnsi" w:eastAsia="Times New Roman" w:hAnsiTheme="minorHAnsi" w:cstheme="minorHAnsi"/>
          <w:color w:val="3D3B39"/>
          <w:lang w:eastAsia="it-IT"/>
        </w:rPr>
        <w:t xml:space="preserve">. e 91 </w:t>
      </w:r>
      <w:proofErr w:type="spellStart"/>
      <w:r w:rsidRPr="008B3F4B">
        <w:rPr>
          <w:rFonts w:asciiTheme="minorHAnsi" w:eastAsia="Times New Roman" w:hAnsiTheme="minorHAnsi" w:cstheme="minorHAnsi"/>
          <w:color w:val="3D3B39"/>
          <w:lang w:eastAsia="it-IT"/>
        </w:rPr>
        <w:t>c.p.c.</w:t>
      </w:r>
      <w:proofErr w:type="spellEnd"/>
      <w:r w:rsidRPr="008B3F4B">
        <w:rPr>
          <w:rFonts w:asciiTheme="minorHAnsi" w:eastAsia="Times New Roman" w:hAnsiTheme="minorHAnsi" w:cstheme="minorHAnsi"/>
          <w:color w:val="3D3B39"/>
          <w:lang w:eastAsia="it-IT"/>
        </w:rPr>
        <w:t xml:space="preserve"> nella misura indicata in dispositivo, così come l’onere del rimborso del contributo unificato versato dalle ricorrenti incidentali, ai sensi dell’art. 13, comma 6-bis.1, del D.P.R. n. 115/2002 che grava sulle ricorrenti principali. </w:t>
      </w:r>
    </w:p>
    <w:p w:rsidR="008B3F4B" w:rsidRPr="008B3F4B" w:rsidRDefault="008B3F4B" w:rsidP="008B3F4B">
      <w:pPr>
        <w:spacing w:after="265"/>
        <w:jc w:val="center"/>
        <w:rPr>
          <w:rFonts w:asciiTheme="minorHAnsi" w:eastAsia="Times New Roman" w:hAnsiTheme="minorHAnsi" w:cstheme="minorHAnsi"/>
          <w:color w:val="3D3B39"/>
          <w:lang w:eastAsia="it-IT"/>
        </w:rPr>
      </w:pPr>
      <w:r w:rsidRPr="008B3F4B">
        <w:rPr>
          <w:rFonts w:asciiTheme="minorHAnsi" w:eastAsia="Times New Roman" w:hAnsiTheme="minorHAnsi" w:cstheme="minorHAnsi"/>
          <w:b/>
          <w:bCs/>
          <w:color w:val="3D3B39"/>
          <w:lang w:eastAsia="it-IT"/>
        </w:rPr>
        <w:t>P.Q.M.</w:t>
      </w:r>
    </w:p>
    <w:p w:rsidR="008B3F4B" w:rsidRPr="008B3F4B" w:rsidRDefault="008B3F4B" w:rsidP="008B3F4B">
      <w:pPr>
        <w:spacing w:after="265"/>
        <w:rPr>
          <w:rFonts w:asciiTheme="minorHAnsi" w:eastAsia="Times New Roman" w:hAnsiTheme="minorHAnsi" w:cstheme="minorHAnsi"/>
          <w:color w:val="3D3B39"/>
          <w:lang w:eastAsia="it-IT"/>
        </w:rPr>
      </w:pPr>
      <w:r w:rsidRPr="008B3F4B">
        <w:rPr>
          <w:rFonts w:asciiTheme="minorHAnsi" w:eastAsia="Times New Roman" w:hAnsiTheme="minorHAnsi" w:cstheme="minorHAnsi"/>
          <w:color w:val="3D3B39"/>
          <w:lang w:eastAsia="it-IT"/>
        </w:rPr>
        <w:t xml:space="preserve">Il Tribunale Amministrativo Regionale della Campania (Sezione Prima), definitivamente pronunciando, così provvede: </w:t>
      </w:r>
      <w:r w:rsidRPr="008B3F4B">
        <w:rPr>
          <w:rFonts w:asciiTheme="minorHAnsi" w:eastAsia="Times New Roman" w:hAnsiTheme="minorHAnsi" w:cstheme="minorHAnsi"/>
          <w:color w:val="3D3B39"/>
          <w:lang w:eastAsia="it-IT"/>
        </w:rPr>
        <w:br/>
        <w:t xml:space="preserve">- rigetta il ricorso introduttivo e i motivi aggiunti proposti dalle società OMISSIS </w:t>
      </w:r>
      <w:proofErr w:type="spellStart"/>
      <w:r w:rsidRPr="008B3F4B">
        <w:rPr>
          <w:rFonts w:asciiTheme="minorHAnsi" w:eastAsia="Times New Roman" w:hAnsiTheme="minorHAnsi" w:cstheme="minorHAnsi"/>
          <w:color w:val="3D3B39"/>
          <w:lang w:eastAsia="it-IT"/>
        </w:rPr>
        <w:t>s.p.a.</w:t>
      </w:r>
      <w:proofErr w:type="spellEnd"/>
      <w:r w:rsidRPr="008B3F4B">
        <w:rPr>
          <w:rFonts w:asciiTheme="minorHAnsi" w:eastAsia="Times New Roman" w:hAnsiTheme="minorHAnsi" w:cstheme="minorHAnsi"/>
          <w:color w:val="3D3B39"/>
          <w:lang w:eastAsia="it-IT"/>
        </w:rPr>
        <w:t xml:space="preserve">, OMISSIS s.r.l., OMISSIS s.r.l.; </w:t>
      </w:r>
      <w:r w:rsidRPr="008B3F4B">
        <w:rPr>
          <w:rFonts w:asciiTheme="minorHAnsi" w:eastAsia="Times New Roman" w:hAnsiTheme="minorHAnsi" w:cstheme="minorHAnsi"/>
          <w:color w:val="3D3B39"/>
          <w:lang w:eastAsia="it-IT"/>
        </w:rPr>
        <w:br/>
        <w:t xml:space="preserve">- dichiara inammissibile il ricorso incidentale proposto dalle società OMISSIS s.r.l., OMISSIS s.r.l., OMISSIS </w:t>
      </w:r>
      <w:proofErr w:type="spellStart"/>
      <w:r w:rsidRPr="008B3F4B">
        <w:rPr>
          <w:rFonts w:asciiTheme="minorHAnsi" w:eastAsia="Times New Roman" w:hAnsiTheme="minorHAnsi" w:cstheme="minorHAnsi"/>
          <w:color w:val="3D3B39"/>
          <w:lang w:eastAsia="it-IT"/>
        </w:rPr>
        <w:t>s.p.a.</w:t>
      </w:r>
      <w:proofErr w:type="spellEnd"/>
      <w:r w:rsidRPr="008B3F4B">
        <w:rPr>
          <w:rFonts w:asciiTheme="minorHAnsi" w:eastAsia="Times New Roman" w:hAnsiTheme="minorHAnsi" w:cstheme="minorHAnsi"/>
          <w:color w:val="3D3B39"/>
          <w:lang w:eastAsia="it-IT"/>
        </w:rPr>
        <w:t xml:space="preserve">; </w:t>
      </w:r>
      <w:r w:rsidRPr="008B3F4B">
        <w:rPr>
          <w:rFonts w:asciiTheme="minorHAnsi" w:eastAsia="Times New Roman" w:hAnsiTheme="minorHAnsi" w:cstheme="minorHAnsi"/>
          <w:color w:val="3D3B39"/>
          <w:lang w:eastAsia="it-IT"/>
        </w:rPr>
        <w:br/>
        <w:t xml:space="preserve">- condanna le società OMISSIS </w:t>
      </w:r>
      <w:proofErr w:type="spellStart"/>
      <w:r w:rsidRPr="008B3F4B">
        <w:rPr>
          <w:rFonts w:asciiTheme="minorHAnsi" w:eastAsia="Times New Roman" w:hAnsiTheme="minorHAnsi" w:cstheme="minorHAnsi"/>
          <w:color w:val="3D3B39"/>
          <w:lang w:eastAsia="it-IT"/>
        </w:rPr>
        <w:t>s.p.a.</w:t>
      </w:r>
      <w:proofErr w:type="spellEnd"/>
      <w:r w:rsidRPr="008B3F4B">
        <w:rPr>
          <w:rFonts w:asciiTheme="minorHAnsi" w:eastAsia="Times New Roman" w:hAnsiTheme="minorHAnsi" w:cstheme="minorHAnsi"/>
          <w:color w:val="3D3B39"/>
          <w:lang w:eastAsia="it-IT"/>
        </w:rPr>
        <w:t xml:space="preserve">, OMISSIS s.r.l., OMISSIS s.r.l., in solido tra loro, al pagamento delle spese processuali in favore delle controparti processuali che liquida in € 3.000,00 (tremila/00) oltre accessori di legge, da ripartire in parti uguali tra le parti resistenti (€ 1.500,00 oltre accessori in favore della Regione Campania ed € 1.500,00 oltre accessori da ripartire tra le società </w:t>
      </w:r>
      <w:proofErr w:type="spellStart"/>
      <w:r w:rsidRPr="008B3F4B">
        <w:rPr>
          <w:rFonts w:asciiTheme="minorHAnsi" w:eastAsia="Times New Roman" w:hAnsiTheme="minorHAnsi" w:cstheme="minorHAnsi"/>
          <w:color w:val="3D3B39"/>
          <w:lang w:eastAsia="it-IT"/>
        </w:rPr>
        <w:t>controinteressate</w:t>
      </w:r>
      <w:proofErr w:type="spellEnd"/>
      <w:r w:rsidRPr="008B3F4B">
        <w:rPr>
          <w:rFonts w:asciiTheme="minorHAnsi" w:eastAsia="Times New Roman" w:hAnsiTheme="minorHAnsi" w:cstheme="minorHAnsi"/>
          <w:color w:val="3D3B39"/>
          <w:lang w:eastAsia="it-IT"/>
        </w:rPr>
        <w:t xml:space="preserve">); </w:t>
      </w:r>
      <w:r w:rsidRPr="008B3F4B">
        <w:rPr>
          <w:rFonts w:asciiTheme="minorHAnsi" w:eastAsia="Times New Roman" w:hAnsiTheme="minorHAnsi" w:cstheme="minorHAnsi"/>
          <w:color w:val="3D3B39"/>
          <w:lang w:eastAsia="it-IT"/>
        </w:rPr>
        <w:br/>
        <w:t xml:space="preserve">- condanna altresì le società OMISSIS </w:t>
      </w:r>
      <w:proofErr w:type="spellStart"/>
      <w:r w:rsidRPr="008B3F4B">
        <w:rPr>
          <w:rFonts w:asciiTheme="minorHAnsi" w:eastAsia="Times New Roman" w:hAnsiTheme="minorHAnsi" w:cstheme="minorHAnsi"/>
          <w:color w:val="3D3B39"/>
          <w:lang w:eastAsia="it-IT"/>
        </w:rPr>
        <w:t>s.p.a.</w:t>
      </w:r>
      <w:proofErr w:type="spellEnd"/>
      <w:r w:rsidRPr="008B3F4B">
        <w:rPr>
          <w:rFonts w:asciiTheme="minorHAnsi" w:eastAsia="Times New Roman" w:hAnsiTheme="minorHAnsi" w:cstheme="minorHAnsi"/>
          <w:color w:val="3D3B39"/>
          <w:lang w:eastAsia="it-IT"/>
        </w:rPr>
        <w:t xml:space="preserve">, OMISSIS s.r.l., OMISSIS s.r.l., in solido tra loro, al rimborso del contributo unificato versato dalle società </w:t>
      </w:r>
      <w:proofErr w:type="spellStart"/>
      <w:r w:rsidRPr="008B3F4B">
        <w:rPr>
          <w:rFonts w:asciiTheme="minorHAnsi" w:eastAsia="Times New Roman" w:hAnsiTheme="minorHAnsi" w:cstheme="minorHAnsi"/>
          <w:color w:val="3D3B39"/>
          <w:lang w:eastAsia="it-IT"/>
        </w:rPr>
        <w:t>controinteressate</w:t>
      </w:r>
      <w:proofErr w:type="spellEnd"/>
      <w:r w:rsidRPr="008B3F4B">
        <w:rPr>
          <w:rFonts w:asciiTheme="minorHAnsi" w:eastAsia="Times New Roman" w:hAnsiTheme="minorHAnsi" w:cstheme="minorHAnsi"/>
          <w:color w:val="3D3B39"/>
          <w:lang w:eastAsia="it-IT"/>
        </w:rPr>
        <w:t xml:space="preserve"> in relazione al ricorso incidentale. </w:t>
      </w:r>
      <w:r w:rsidRPr="008B3F4B">
        <w:rPr>
          <w:rFonts w:asciiTheme="minorHAnsi" w:eastAsia="Times New Roman" w:hAnsiTheme="minorHAnsi" w:cstheme="minorHAnsi"/>
          <w:color w:val="3D3B39"/>
          <w:lang w:eastAsia="it-IT"/>
        </w:rPr>
        <w:br/>
        <w:t xml:space="preserve">Ordina che la presente sentenza sia eseguita dall'autorità amministrativa. </w:t>
      </w:r>
      <w:r w:rsidRPr="008B3F4B">
        <w:rPr>
          <w:rFonts w:asciiTheme="minorHAnsi" w:eastAsia="Times New Roman" w:hAnsiTheme="minorHAnsi" w:cstheme="minorHAnsi"/>
          <w:color w:val="3D3B39"/>
          <w:lang w:eastAsia="it-IT"/>
        </w:rPr>
        <w:br/>
      </w:r>
      <w:r w:rsidRPr="008B3F4B">
        <w:rPr>
          <w:rFonts w:asciiTheme="minorHAnsi" w:eastAsia="Times New Roman" w:hAnsiTheme="minorHAnsi" w:cstheme="minorHAnsi"/>
          <w:color w:val="3D3B39"/>
          <w:lang w:eastAsia="it-IT"/>
        </w:rPr>
        <w:lastRenderedPageBreak/>
        <w:t xml:space="preserve">Così deciso in Napoli nella camera di consiglio del giorno 17 aprile 2019 con l'intervento dei magistrati: </w:t>
      </w:r>
      <w:r w:rsidRPr="008B3F4B">
        <w:rPr>
          <w:rFonts w:asciiTheme="minorHAnsi" w:eastAsia="Times New Roman" w:hAnsiTheme="minorHAnsi" w:cstheme="minorHAnsi"/>
          <w:color w:val="3D3B39"/>
          <w:lang w:eastAsia="it-IT"/>
        </w:rPr>
        <w:br/>
        <w:t xml:space="preserve">Salvatore Veneziano, Presidente </w:t>
      </w:r>
      <w:r w:rsidRPr="008B3F4B">
        <w:rPr>
          <w:rFonts w:asciiTheme="minorHAnsi" w:eastAsia="Times New Roman" w:hAnsiTheme="minorHAnsi" w:cstheme="minorHAnsi"/>
          <w:color w:val="3D3B39"/>
          <w:lang w:eastAsia="it-IT"/>
        </w:rPr>
        <w:br/>
        <w:t xml:space="preserve">Gianluca Di Vita, Consigliere, Estensore </w:t>
      </w:r>
      <w:r w:rsidRPr="008B3F4B">
        <w:rPr>
          <w:rFonts w:asciiTheme="minorHAnsi" w:eastAsia="Times New Roman" w:hAnsiTheme="minorHAnsi" w:cstheme="minorHAnsi"/>
          <w:color w:val="3D3B39"/>
          <w:lang w:eastAsia="it-IT"/>
        </w:rPr>
        <w:br/>
        <w:t xml:space="preserve">Domenico De Falco, Primo Referendario </w:t>
      </w:r>
    </w:p>
    <w:p w:rsidR="008B3F4B" w:rsidRPr="00C33C1E" w:rsidRDefault="008B3F4B" w:rsidP="008B3F4B">
      <w:pPr>
        <w:spacing w:after="225"/>
        <w:outlineLvl w:val="2"/>
        <w:rPr>
          <w:rFonts w:asciiTheme="minorHAnsi" w:eastAsia="Times New Roman" w:hAnsiTheme="minorHAnsi" w:cstheme="minorHAnsi"/>
          <w:b/>
          <w:bCs/>
          <w:caps/>
          <w:color w:val="000000"/>
          <w:lang w:eastAsia="it-IT"/>
        </w:rPr>
      </w:pPr>
    </w:p>
    <w:p w:rsidR="008B3F4B" w:rsidRPr="00C33C1E" w:rsidRDefault="008B3F4B" w:rsidP="008B3F4B">
      <w:pPr>
        <w:spacing w:after="225"/>
        <w:outlineLvl w:val="2"/>
        <w:rPr>
          <w:rFonts w:asciiTheme="minorHAnsi" w:eastAsia="Times New Roman" w:hAnsiTheme="minorHAnsi" w:cstheme="minorHAnsi"/>
          <w:b/>
          <w:bCs/>
          <w:caps/>
          <w:color w:val="000000"/>
          <w:lang w:eastAsia="it-IT"/>
        </w:rPr>
      </w:pPr>
    </w:p>
    <w:p w:rsidR="008B3F4B" w:rsidRPr="00C33C1E" w:rsidRDefault="008B3F4B" w:rsidP="008B3F4B">
      <w:pPr>
        <w:spacing w:after="225"/>
        <w:outlineLvl w:val="2"/>
        <w:rPr>
          <w:rFonts w:asciiTheme="minorHAnsi" w:eastAsia="Times New Roman" w:hAnsiTheme="minorHAnsi" w:cstheme="minorHAnsi"/>
          <w:b/>
          <w:bCs/>
          <w:caps/>
          <w:color w:val="000000"/>
          <w:lang w:eastAsia="it-IT"/>
        </w:rPr>
      </w:pPr>
    </w:p>
    <w:p w:rsidR="008B3F4B" w:rsidRPr="00C33C1E" w:rsidRDefault="008B3F4B" w:rsidP="008B3F4B">
      <w:pPr>
        <w:spacing w:after="225"/>
        <w:outlineLvl w:val="2"/>
        <w:rPr>
          <w:rFonts w:asciiTheme="minorHAnsi" w:eastAsia="Times New Roman" w:hAnsiTheme="minorHAnsi" w:cstheme="minorHAnsi"/>
          <w:b/>
          <w:bCs/>
          <w:caps/>
          <w:color w:val="000000"/>
          <w:lang w:eastAsia="it-IT"/>
        </w:rPr>
      </w:pPr>
    </w:p>
    <w:p w:rsidR="008B3F4B" w:rsidRPr="00C33C1E" w:rsidRDefault="008B3F4B" w:rsidP="008B3F4B">
      <w:pPr>
        <w:spacing w:after="225"/>
        <w:outlineLvl w:val="2"/>
        <w:rPr>
          <w:rFonts w:asciiTheme="minorHAnsi" w:eastAsia="Times New Roman" w:hAnsiTheme="minorHAnsi" w:cstheme="minorHAnsi"/>
          <w:b/>
          <w:bCs/>
          <w:caps/>
          <w:color w:val="000000"/>
          <w:lang w:eastAsia="it-IT"/>
        </w:rPr>
      </w:pPr>
    </w:p>
    <w:p w:rsidR="008B3F4B" w:rsidRPr="00C33C1E" w:rsidRDefault="008B3F4B" w:rsidP="008B3F4B">
      <w:pPr>
        <w:spacing w:after="225"/>
        <w:outlineLvl w:val="2"/>
        <w:rPr>
          <w:rFonts w:asciiTheme="minorHAnsi" w:eastAsia="Times New Roman" w:hAnsiTheme="minorHAnsi" w:cstheme="minorHAnsi"/>
          <w:b/>
          <w:bCs/>
          <w:caps/>
          <w:color w:val="000000"/>
          <w:lang w:eastAsia="it-IT"/>
        </w:rPr>
      </w:pPr>
    </w:p>
    <w:p w:rsidR="008B3F4B" w:rsidRPr="00C33C1E" w:rsidRDefault="008B3F4B" w:rsidP="008B3F4B">
      <w:pPr>
        <w:spacing w:after="225"/>
        <w:outlineLvl w:val="2"/>
        <w:rPr>
          <w:rFonts w:asciiTheme="minorHAnsi" w:eastAsia="Times New Roman" w:hAnsiTheme="minorHAnsi" w:cstheme="minorHAnsi"/>
          <w:b/>
          <w:bCs/>
          <w:caps/>
          <w:color w:val="000000"/>
          <w:lang w:eastAsia="it-IT"/>
        </w:rPr>
      </w:pPr>
    </w:p>
    <w:p w:rsidR="008B3F4B" w:rsidRPr="00C33C1E" w:rsidRDefault="008B3F4B" w:rsidP="008B3F4B">
      <w:pPr>
        <w:spacing w:after="225"/>
        <w:outlineLvl w:val="2"/>
        <w:rPr>
          <w:rFonts w:asciiTheme="minorHAnsi" w:eastAsia="Times New Roman" w:hAnsiTheme="minorHAnsi" w:cstheme="minorHAnsi"/>
          <w:b/>
          <w:bCs/>
          <w:caps/>
          <w:color w:val="000000"/>
          <w:lang w:eastAsia="it-IT"/>
        </w:rPr>
      </w:pPr>
    </w:p>
    <w:p w:rsidR="008B3F4B" w:rsidRPr="00C33C1E" w:rsidRDefault="008B3F4B" w:rsidP="008B3F4B">
      <w:pPr>
        <w:spacing w:after="225"/>
        <w:outlineLvl w:val="2"/>
        <w:rPr>
          <w:rFonts w:asciiTheme="minorHAnsi" w:eastAsia="Times New Roman" w:hAnsiTheme="minorHAnsi" w:cstheme="minorHAnsi"/>
          <w:b/>
          <w:bCs/>
          <w:caps/>
          <w:color w:val="000000"/>
          <w:lang w:eastAsia="it-IT"/>
        </w:rPr>
      </w:pPr>
    </w:p>
    <w:p w:rsidR="008B3F4B" w:rsidRPr="00C33C1E" w:rsidRDefault="008B3F4B" w:rsidP="008B3F4B">
      <w:pPr>
        <w:spacing w:after="225"/>
        <w:outlineLvl w:val="2"/>
        <w:rPr>
          <w:rFonts w:asciiTheme="minorHAnsi" w:eastAsia="Times New Roman" w:hAnsiTheme="minorHAnsi" w:cstheme="minorHAnsi"/>
          <w:b/>
          <w:bCs/>
          <w:caps/>
          <w:color w:val="000000"/>
          <w:lang w:eastAsia="it-IT"/>
        </w:rPr>
      </w:pPr>
    </w:p>
    <w:p w:rsidR="008B3F4B" w:rsidRPr="00C33C1E" w:rsidRDefault="008B3F4B" w:rsidP="008B3F4B">
      <w:pPr>
        <w:spacing w:after="225"/>
        <w:outlineLvl w:val="2"/>
        <w:rPr>
          <w:rFonts w:asciiTheme="minorHAnsi" w:eastAsia="Times New Roman" w:hAnsiTheme="minorHAnsi" w:cstheme="minorHAnsi"/>
          <w:b/>
          <w:bCs/>
          <w:caps/>
          <w:color w:val="000000"/>
          <w:lang w:eastAsia="it-IT"/>
        </w:rPr>
      </w:pPr>
    </w:p>
    <w:p w:rsidR="008B3F4B" w:rsidRDefault="008B3F4B" w:rsidP="008B3F4B">
      <w:pPr>
        <w:spacing w:after="225"/>
        <w:outlineLvl w:val="2"/>
        <w:rPr>
          <w:rFonts w:asciiTheme="minorHAnsi" w:eastAsia="Times New Roman" w:hAnsiTheme="minorHAnsi" w:cstheme="minorHAnsi"/>
          <w:b/>
          <w:bCs/>
          <w:caps/>
          <w:color w:val="000000"/>
          <w:lang w:eastAsia="it-IT"/>
        </w:rPr>
      </w:pPr>
    </w:p>
    <w:p w:rsidR="00FE2E15" w:rsidRDefault="00FE2E15" w:rsidP="008B3F4B">
      <w:pPr>
        <w:spacing w:after="225"/>
        <w:outlineLvl w:val="2"/>
        <w:rPr>
          <w:rFonts w:asciiTheme="minorHAnsi" w:eastAsia="Times New Roman" w:hAnsiTheme="minorHAnsi" w:cstheme="minorHAnsi"/>
          <w:b/>
          <w:bCs/>
          <w:caps/>
          <w:color w:val="000000"/>
          <w:lang w:eastAsia="it-IT"/>
        </w:rPr>
      </w:pPr>
    </w:p>
    <w:p w:rsidR="00FE2E15" w:rsidRDefault="00FE2E15" w:rsidP="008B3F4B">
      <w:pPr>
        <w:spacing w:after="225"/>
        <w:outlineLvl w:val="2"/>
        <w:rPr>
          <w:rFonts w:asciiTheme="minorHAnsi" w:eastAsia="Times New Roman" w:hAnsiTheme="minorHAnsi" w:cstheme="minorHAnsi"/>
          <w:b/>
          <w:bCs/>
          <w:caps/>
          <w:color w:val="000000"/>
          <w:lang w:eastAsia="it-IT"/>
        </w:rPr>
      </w:pPr>
    </w:p>
    <w:p w:rsidR="00FE2E15" w:rsidRDefault="00FE2E15" w:rsidP="008B3F4B">
      <w:pPr>
        <w:spacing w:after="225"/>
        <w:outlineLvl w:val="2"/>
        <w:rPr>
          <w:rFonts w:asciiTheme="minorHAnsi" w:eastAsia="Times New Roman" w:hAnsiTheme="minorHAnsi" w:cstheme="minorHAnsi"/>
          <w:b/>
          <w:bCs/>
          <w:caps/>
          <w:color w:val="000000"/>
          <w:lang w:eastAsia="it-IT"/>
        </w:rPr>
      </w:pPr>
    </w:p>
    <w:p w:rsidR="00FE2E15" w:rsidRDefault="00FE2E15" w:rsidP="008B3F4B">
      <w:pPr>
        <w:spacing w:after="225"/>
        <w:outlineLvl w:val="2"/>
        <w:rPr>
          <w:rFonts w:asciiTheme="minorHAnsi" w:eastAsia="Times New Roman" w:hAnsiTheme="minorHAnsi" w:cstheme="minorHAnsi"/>
          <w:b/>
          <w:bCs/>
          <w:caps/>
          <w:color w:val="000000"/>
          <w:lang w:eastAsia="it-IT"/>
        </w:rPr>
      </w:pPr>
    </w:p>
    <w:p w:rsidR="00FE2E15" w:rsidRDefault="00FE2E15" w:rsidP="008B3F4B">
      <w:pPr>
        <w:spacing w:after="225"/>
        <w:outlineLvl w:val="2"/>
        <w:rPr>
          <w:rFonts w:asciiTheme="minorHAnsi" w:eastAsia="Times New Roman" w:hAnsiTheme="minorHAnsi" w:cstheme="minorHAnsi"/>
          <w:b/>
          <w:bCs/>
          <w:caps/>
          <w:color w:val="000000"/>
          <w:lang w:eastAsia="it-IT"/>
        </w:rPr>
      </w:pPr>
    </w:p>
    <w:p w:rsidR="00FE2E15" w:rsidRDefault="00FE2E15" w:rsidP="008B3F4B">
      <w:pPr>
        <w:spacing w:after="225"/>
        <w:outlineLvl w:val="2"/>
        <w:rPr>
          <w:rFonts w:asciiTheme="minorHAnsi" w:eastAsia="Times New Roman" w:hAnsiTheme="minorHAnsi" w:cstheme="minorHAnsi"/>
          <w:b/>
          <w:bCs/>
          <w:caps/>
          <w:color w:val="000000"/>
          <w:lang w:eastAsia="it-IT"/>
        </w:rPr>
      </w:pPr>
    </w:p>
    <w:p w:rsidR="00FE2E15" w:rsidRDefault="00FE2E15" w:rsidP="008B3F4B">
      <w:pPr>
        <w:spacing w:after="225"/>
        <w:outlineLvl w:val="2"/>
        <w:rPr>
          <w:rFonts w:asciiTheme="minorHAnsi" w:eastAsia="Times New Roman" w:hAnsiTheme="minorHAnsi" w:cstheme="minorHAnsi"/>
          <w:b/>
          <w:bCs/>
          <w:caps/>
          <w:color w:val="000000"/>
          <w:lang w:eastAsia="it-IT"/>
        </w:rPr>
      </w:pPr>
    </w:p>
    <w:p w:rsidR="00FE2E15" w:rsidRDefault="00FE2E15" w:rsidP="008B3F4B">
      <w:pPr>
        <w:spacing w:after="225"/>
        <w:outlineLvl w:val="2"/>
        <w:rPr>
          <w:rFonts w:asciiTheme="minorHAnsi" w:eastAsia="Times New Roman" w:hAnsiTheme="minorHAnsi" w:cstheme="minorHAnsi"/>
          <w:b/>
          <w:bCs/>
          <w:caps/>
          <w:color w:val="000000"/>
          <w:lang w:eastAsia="it-IT"/>
        </w:rPr>
      </w:pPr>
    </w:p>
    <w:p w:rsidR="00FE2E15" w:rsidRDefault="00FE2E15" w:rsidP="008B3F4B">
      <w:pPr>
        <w:spacing w:after="225"/>
        <w:outlineLvl w:val="2"/>
        <w:rPr>
          <w:rFonts w:asciiTheme="minorHAnsi" w:eastAsia="Times New Roman" w:hAnsiTheme="minorHAnsi" w:cstheme="minorHAnsi"/>
          <w:b/>
          <w:bCs/>
          <w:caps/>
          <w:color w:val="000000"/>
          <w:lang w:eastAsia="it-IT"/>
        </w:rPr>
      </w:pPr>
    </w:p>
    <w:p w:rsidR="00FE2E15" w:rsidRDefault="00FE2E15" w:rsidP="008B3F4B">
      <w:pPr>
        <w:spacing w:after="225"/>
        <w:outlineLvl w:val="2"/>
        <w:rPr>
          <w:rFonts w:asciiTheme="minorHAnsi" w:eastAsia="Times New Roman" w:hAnsiTheme="minorHAnsi" w:cstheme="minorHAnsi"/>
          <w:b/>
          <w:bCs/>
          <w:caps/>
          <w:color w:val="000000"/>
          <w:lang w:eastAsia="it-IT"/>
        </w:rPr>
      </w:pPr>
    </w:p>
    <w:p w:rsidR="00FE2E15" w:rsidRPr="00C33C1E" w:rsidRDefault="00FE2E15" w:rsidP="008B3F4B">
      <w:pPr>
        <w:spacing w:after="225"/>
        <w:outlineLvl w:val="2"/>
        <w:rPr>
          <w:rFonts w:asciiTheme="minorHAnsi" w:eastAsia="Times New Roman" w:hAnsiTheme="minorHAnsi" w:cstheme="minorHAnsi"/>
          <w:b/>
          <w:bCs/>
          <w:caps/>
          <w:color w:val="000000"/>
          <w:lang w:eastAsia="it-IT"/>
        </w:rPr>
      </w:pPr>
    </w:p>
    <w:p w:rsidR="008B3F4B" w:rsidRPr="008B3F4B" w:rsidRDefault="008B3F4B" w:rsidP="008B3F4B">
      <w:pPr>
        <w:spacing w:after="265"/>
        <w:rPr>
          <w:rFonts w:asciiTheme="minorHAnsi" w:eastAsia="Times New Roman" w:hAnsiTheme="minorHAnsi" w:cstheme="minorHAnsi"/>
          <w:color w:val="3D3B39"/>
          <w:lang w:eastAsia="it-IT"/>
        </w:rPr>
      </w:pPr>
      <w:r w:rsidRPr="008B3F4B">
        <w:rPr>
          <w:rFonts w:asciiTheme="minorHAnsi" w:eastAsia="Times New Roman" w:hAnsiTheme="minorHAnsi" w:cstheme="minorHAnsi"/>
          <w:color w:val="3D3B39"/>
          <w:lang w:eastAsia="it-IT"/>
        </w:rPr>
        <w:t xml:space="preserve">Pubblicato il 13/05/2019 </w:t>
      </w:r>
      <w:r w:rsidRPr="008B3F4B">
        <w:rPr>
          <w:rFonts w:asciiTheme="minorHAnsi" w:eastAsia="Times New Roman" w:hAnsiTheme="minorHAnsi" w:cstheme="minorHAnsi"/>
          <w:color w:val="3D3B39"/>
          <w:lang w:eastAsia="it-IT"/>
        </w:rPr>
        <w:br/>
        <w:t>N. 00324/2019 REG.PROV.COLL.</w:t>
      </w:r>
      <w:r w:rsidRPr="008B3F4B">
        <w:rPr>
          <w:rFonts w:asciiTheme="minorHAnsi" w:eastAsia="Times New Roman" w:hAnsiTheme="minorHAnsi" w:cstheme="minorHAnsi"/>
          <w:color w:val="3D3B39"/>
          <w:lang w:eastAsia="it-IT"/>
        </w:rPr>
        <w:br/>
        <w:t>N. 00237/2019 REG.RIC.</w:t>
      </w:r>
    </w:p>
    <w:p w:rsidR="008B3F4B" w:rsidRPr="008B3F4B" w:rsidRDefault="008B3F4B" w:rsidP="008B3F4B">
      <w:pPr>
        <w:spacing w:after="265"/>
        <w:jc w:val="center"/>
        <w:rPr>
          <w:rFonts w:asciiTheme="minorHAnsi" w:eastAsia="Times New Roman" w:hAnsiTheme="minorHAnsi" w:cstheme="minorHAnsi"/>
          <w:color w:val="3D3B39"/>
          <w:lang w:eastAsia="it-IT"/>
        </w:rPr>
      </w:pPr>
      <w:r w:rsidRPr="008B3F4B">
        <w:rPr>
          <w:rFonts w:asciiTheme="minorHAnsi" w:eastAsia="Times New Roman" w:hAnsiTheme="minorHAnsi" w:cstheme="minorHAnsi"/>
          <w:b/>
          <w:bCs/>
          <w:color w:val="3D3B39"/>
          <w:lang w:eastAsia="it-IT"/>
        </w:rPr>
        <w:lastRenderedPageBreak/>
        <w:t xml:space="preserve">REPUBBLICA ITALIANA </w:t>
      </w:r>
      <w:r w:rsidRPr="008B3F4B">
        <w:rPr>
          <w:rFonts w:asciiTheme="minorHAnsi" w:eastAsia="Times New Roman" w:hAnsiTheme="minorHAnsi" w:cstheme="minorHAnsi"/>
          <w:b/>
          <w:bCs/>
          <w:color w:val="3D3B39"/>
          <w:lang w:eastAsia="it-IT"/>
        </w:rPr>
        <w:br/>
        <w:t>IN NOME DEL POPOLO ITALIANO</w:t>
      </w:r>
    </w:p>
    <w:p w:rsidR="008B3F4B" w:rsidRPr="008B3F4B" w:rsidRDefault="008B3F4B" w:rsidP="008B3F4B">
      <w:pPr>
        <w:spacing w:after="265"/>
        <w:jc w:val="center"/>
        <w:rPr>
          <w:rFonts w:asciiTheme="minorHAnsi" w:eastAsia="Times New Roman" w:hAnsiTheme="minorHAnsi" w:cstheme="minorHAnsi"/>
          <w:color w:val="3D3B39"/>
          <w:lang w:eastAsia="it-IT"/>
        </w:rPr>
      </w:pPr>
      <w:r w:rsidRPr="008B3F4B">
        <w:rPr>
          <w:rFonts w:asciiTheme="minorHAnsi" w:eastAsia="Times New Roman" w:hAnsiTheme="minorHAnsi" w:cstheme="minorHAnsi"/>
          <w:color w:val="3D3B39"/>
          <w:lang w:eastAsia="it-IT"/>
        </w:rPr>
        <w:t>Il Tribunale Amministrativo Regionale per la Calabria</w:t>
      </w:r>
    </w:p>
    <w:p w:rsidR="008B3F4B" w:rsidRPr="008B3F4B" w:rsidRDefault="008B3F4B" w:rsidP="008B3F4B">
      <w:pPr>
        <w:spacing w:after="265"/>
        <w:jc w:val="center"/>
        <w:rPr>
          <w:rFonts w:asciiTheme="minorHAnsi" w:eastAsia="Times New Roman" w:hAnsiTheme="minorHAnsi" w:cstheme="minorHAnsi"/>
          <w:color w:val="3D3B39"/>
          <w:lang w:eastAsia="it-IT"/>
        </w:rPr>
      </w:pPr>
      <w:r w:rsidRPr="008B3F4B">
        <w:rPr>
          <w:rFonts w:asciiTheme="minorHAnsi" w:eastAsia="Times New Roman" w:hAnsiTheme="minorHAnsi" w:cstheme="minorHAnsi"/>
          <w:color w:val="3D3B39"/>
          <w:lang w:eastAsia="it-IT"/>
        </w:rPr>
        <w:t>Sezione Staccata di Reggio Calabria</w:t>
      </w:r>
    </w:p>
    <w:p w:rsidR="008B3F4B" w:rsidRPr="008B3F4B" w:rsidRDefault="008B3F4B" w:rsidP="008B3F4B">
      <w:pPr>
        <w:spacing w:after="265"/>
        <w:jc w:val="center"/>
        <w:rPr>
          <w:rFonts w:asciiTheme="minorHAnsi" w:eastAsia="Times New Roman" w:hAnsiTheme="minorHAnsi" w:cstheme="minorHAnsi"/>
          <w:color w:val="3D3B39"/>
          <w:lang w:eastAsia="it-IT"/>
        </w:rPr>
      </w:pPr>
      <w:r w:rsidRPr="008B3F4B">
        <w:rPr>
          <w:rFonts w:asciiTheme="minorHAnsi" w:eastAsia="Times New Roman" w:hAnsiTheme="minorHAnsi" w:cstheme="minorHAnsi"/>
          <w:color w:val="3D3B39"/>
          <w:lang w:eastAsia="it-IT"/>
        </w:rPr>
        <w:t>ha pronunciato la presente</w:t>
      </w:r>
    </w:p>
    <w:p w:rsidR="008B3F4B" w:rsidRPr="008B3F4B" w:rsidRDefault="008B3F4B" w:rsidP="008B3F4B">
      <w:pPr>
        <w:spacing w:after="265"/>
        <w:jc w:val="center"/>
        <w:rPr>
          <w:rFonts w:asciiTheme="minorHAnsi" w:eastAsia="Times New Roman" w:hAnsiTheme="minorHAnsi" w:cstheme="minorHAnsi"/>
          <w:color w:val="3D3B39"/>
          <w:lang w:eastAsia="it-IT"/>
        </w:rPr>
      </w:pPr>
      <w:r w:rsidRPr="008B3F4B">
        <w:rPr>
          <w:rFonts w:asciiTheme="minorHAnsi" w:eastAsia="Times New Roman" w:hAnsiTheme="minorHAnsi" w:cstheme="minorHAnsi"/>
          <w:b/>
          <w:bCs/>
          <w:color w:val="3D3B39"/>
          <w:lang w:eastAsia="it-IT"/>
        </w:rPr>
        <w:t>SENTENZA</w:t>
      </w:r>
    </w:p>
    <w:p w:rsidR="008B3F4B" w:rsidRPr="008B3F4B" w:rsidRDefault="008B3F4B" w:rsidP="008B3F4B">
      <w:pPr>
        <w:spacing w:after="265"/>
        <w:rPr>
          <w:rFonts w:asciiTheme="minorHAnsi" w:eastAsia="Times New Roman" w:hAnsiTheme="minorHAnsi" w:cstheme="minorHAnsi"/>
          <w:color w:val="3D3B39"/>
          <w:lang w:eastAsia="it-IT"/>
        </w:rPr>
      </w:pPr>
      <w:r w:rsidRPr="008B3F4B">
        <w:rPr>
          <w:rFonts w:asciiTheme="minorHAnsi" w:eastAsia="Times New Roman" w:hAnsiTheme="minorHAnsi" w:cstheme="minorHAnsi"/>
          <w:color w:val="3D3B39"/>
          <w:lang w:eastAsia="it-IT"/>
        </w:rPr>
        <w:t xml:space="preserve">ex art. 60 cod. </w:t>
      </w:r>
      <w:proofErr w:type="spellStart"/>
      <w:r w:rsidRPr="008B3F4B">
        <w:rPr>
          <w:rFonts w:asciiTheme="minorHAnsi" w:eastAsia="Times New Roman" w:hAnsiTheme="minorHAnsi" w:cstheme="minorHAnsi"/>
          <w:color w:val="3D3B39"/>
          <w:lang w:eastAsia="it-IT"/>
        </w:rPr>
        <w:t>proc</w:t>
      </w:r>
      <w:proofErr w:type="spellEnd"/>
      <w:r w:rsidRPr="008B3F4B">
        <w:rPr>
          <w:rFonts w:asciiTheme="minorHAnsi" w:eastAsia="Times New Roman" w:hAnsiTheme="minorHAnsi" w:cstheme="minorHAnsi"/>
          <w:color w:val="3D3B39"/>
          <w:lang w:eastAsia="it-IT"/>
        </w:rPr>
        <w:t xml:space="preserve">. </w:t>
      </w:r>
      <w:proofErr w:type="spellStart"/>
      <w:r w:rsidRPr="008B3F4B">
        <w:rPr>
          <w:rFonts w:asciiTheme="minorHAnsi" w:eastAsia="Times New Roman" w:hAnsiTheme="minorHAnsi" w:cstheme="minorHAnsi"/>
          <w:color w:val="3D3B39"/>
          <w:lang w:eastAsia="it-IT"/>
        </w:rPr>
        <w:t>amm</w:t>
      </w:r>
      <w:proofErr w:type="spellEnd"/>
      <w:r w:rsidRPr="008B3F4B">
        <w:rPr>
          <w:rFonts w:asciiTheme="minorHAnsi" w:eastAsia="Times New Roman" w:hAnsiTheme="minorHAnsi" w:cstheme="minorHAnsi"/>
          <w:color w:val="3D3B39"/>
          <w:lang w:eastAsia="it-IT"/>
        </w:rPr>
        <w:t>.;</w:t>
      </w:r>
      <w:r w:rsidRPr="008B3F4B">
        <w:rPr>
          <w:rFonts w:asciiTheme="minorHAnsi" w:eastAsia="Times New Roman" w:hAnsiTheme="minorHAnsi" w:cstheme="minorHAnsi"/>
          <w:color w:val="3D3B39"/>
          <w:lang w:eastAsia="it-IT"/>
        </w:rPr>
        <w:br/>
        <w:t>sul ricorso numero di registro generale 237 del 2019, proposto da:</w:t>
      </w:r>
      <w:r w:rsidRPr="008B3F4B">
        <w:rPr>
          <w:rFonts w:asciiTheme="minorHAnsi" w:eastAsia="Times New Roman" w:hAnsiTheme="minorHAnsi" w:cstheme="minorHAnsi"/>
          <w:color w:val="3D3B39"/>
          <w:lang w:eastAsia="it-IT"/>
        </w:rPr>
        <w:br/>
        <w:t xml:space="preserve">-OMISSIS-., in persona del legale rappresentante </w:t>
      </w:r>
      <w:r w:rsidRPr="008B3F4B">
        <w:rPr>
          <w:rFonts w:asciiTheme="minorHAnsi" w:eastAsia="Times New Roman" w:hAnsiTheme="minorHAnsi" w:cstheme="minorHAnsi"/>
          <w:i/>
          <w:iCs/>
          <w:color w:val="3D3B39"/>
          <w:lang w:eastAsia="it-IT"/>
        </w:rPr>
        <w:t xml:space="preserve">pro tempore </w:t>
      </w:r>
      <w:r w:rsidRPr="008B3F4B">
        <w:rPr>
          <w:rFonts w:asciiTheme="minorHAnsi" w:eastAsia="Times New Roman" w:hAnsiTheme="minorHAnsi" w:cstheme="minorHAnsi"/>
          <w:color w:val="3D3B39"/>
          <w:lang w:eastAsia="it-IT"/>
        </w:rPr>
        <w:t xml:space="preserve">-OMISSIS-, e -OMISSIS-., in persona del legale rappresentante </w:t>
      </w:r>
      <w:r w:rsidRPr="008B3F4B">
        <w:rPr>
          <w:rFonts w:asciiTheme="minorHAnsi" w:eastAsia="Times New Roman" w:hAnsiTheme="minorHAnsi" w:cstheme="minorHAnsi"/>
          <w:i/>
          <w:iCs/>
          <w:color w:val="3D3B39"/>
          <w:lang w:eastAsia="it-IT"/>
        </w:rPr>
        <w:t>pro tempore</w:t>
      </w:r>
      <w:r w:rsidRPr="008B3F4B">
        <w:rPr>
          <w:rFonts w:asciiTheme="minorHAnsi" w:eastAsia="Times New Roman" w:hAnsiTheme="minorHAnsi" w:cstheme="minorHAnsi"/>
          <w:color w:val="3D3B39"/>
          <w:lang w:eastAsia="it-IT"/>
        </w:rPr>
        <w:t xml:space="preserve"> Dott. -OMISSIS-, rappresentate e difese dall'avvocato Raffaele Brunetti, con domicilio digitale come da PEC da Registri di Giustizia;</w:t>
      </w:r>
    </w:p>
    <w:p w:rsidR="008B3F4B" w:rsidRPr="008B3F4B" w:rsidRDefault="008B3F4B" w:rsidP="008B3F4B">
      <w:pPr>
        <w:spacing w:after="265"/>
        <w:rPr>
          <w:rFonts w:asciiTheme="minorHAnsi" w:eastAsia="Times New Roman" w:hAnsiTheme="minorHAnsi" w:cstheme="minorHAnsi"/>
          <w:color w:val="3D3B39"/>
          <w:lang w:eastAsia="it-IT"/>
        </w:rPr>
      </w:pPr>
      <w:r w:rsidRPr="008B3F4B">
        <w:rPr>
          <w:rFonts w:asciiTheme="minorHAnsi" w:eastAsia="Times New Roman" w:hAnsiTheme="minorHAnsi" w:cstheme="minorHAnsi"/>
          <w:color w:val="3D3B39"/>
          <w:lang w:eastAsia="it-IT"/>
        </w:rPr>
        <w:t>contro</w:t>
      </w:r>
    </w:p>
    <w:p w:rsidR="008B3F4B" w:rsidRPr="008B3F4B" w:rsidRDefault="008B3F4B" w:rsidP="008B3F4B">
      <w:pPr>
        <w:spacing w:after="265"/>
        <w:rPr>
          <w:rFonts w:asciiTheme="minorHAnsi" w:eastAsia="Times New Roman" w:hAnsiTheme="minorHAnsi" w:cstheme="minorHAnsi"/>
          <w:color w:val="3D3B39"/>
          <w:lang w:eastAsia="it-IT"/>
        </w:rPr>
      </w:pPr>
      <w:r w:rsidRPr="008B3F4B">
        <w:rPr>
          <w:rFonts w:asciiTheme="minorHAnsi" w:eastAsia="Times New Roman" w:hAnsiTheme="minorHAnsi" w:cstheme="minorHAnsi"/>
          <w:color w:val="3D3B39"/>
          <w:lang w:eastAsia="it-IT"/>
        </w:rPr>
        <w:t xml:space="preserve">Città Metropolitana di Reggio Calabria, in persona del legale rappresentante </w:t>
      </w:r>
      <w:r w:rsidRPr="008B3F4B">
        <w:rPr>
          <w:rFonts w:asciiTheme="minorHAnsi" w:eastAsia="Times New Roman" w:hAnsiTheme="minorHAnsi" w:cstheme="minorHAnsi"/>
          <w:i/>
          <w:iCs/>
          <w:color w:val="3D3B39"/>
          <w:lang w:eastAsia="it-IT"/>
        </w:rPr>
        <w:t>pro tempore</w:t>
      </w:r>
      <w:r w:rsidRPr="008B3F4B">
        <w:rPr>
          <w:rFonts w:asciiTheme="minorHAnsi" w:eastAsia="Times New Roman" w:hAnsiTheme="minorHAnsi" w:cstheme="minorHAnsi"/>
          <w:color w:val="3D3B39"/>
          <w:lang w:eastAsia="it-IT"/>
        </w:rPr>
        <w:t>, rappresentata e difesa dall'avvocato Antonio Miceli, con domicilio digitale come da PEC da Registri di Giustizia;</w:t>
      </w:r>
    </w:p>
    <w:p w:rsidR="008B3F4B" w:rsidRPr="008B3F4B" w:rsidRDefault="008B3F4B" w:rsidP="008B3F4B">
      <w:pPr>
        <w:spacing w:after="265"/>
        <w:rPr>
          <w:rFonts w:asciiTheme="minorHAnsi" w:eastAsia="Times New Roman" w:hAnsiTheme="minorHAnsi" w:cstheme="minorHAnsi"/>
          <w:color w:val="3D3B39"/>
          <w:lang w:eastAsia="it-IT"/>
        </w:rPr>
      </w:pPr>
      <w:r w:rsidRPr="008B3F4B">
        <w:rPr>
          <w:rFonts w:asciiTheme="minorHAnsi" w:eastAsia="Times New Roman" w:hAnsiTheme="minorHAnsi" w:cstheme="minorHAnsi"/>
          <w:color w:val="3D3B39"/>
          <w:lang w:eastAsia="it-IT"/>
        </w:rPr>
        <w:t>nei confronti</w:t>
      </w:r>
    </w:p>
    <w:p w:rsidR="008B3F4B" w:rsidRPr="008B3F4B" w:rsidRDefault="008B3F4B" w:rsidP="008B3F4B">
      <w:pPr>
        <w:spacing w:after="265"/>
        <w:rPr>
          <w:rFonts w:asciiTheme="minorHAnsi" w:eastAsia="Times New Roman" w:hAnsiTheme="minorHAnsi" w:cstheme="minorHAnsi"/>
          <w:color w:val="3D3B39"/>
          <w:lang w:eastAsia="it-IT"/>
        </w:rPr>
      </w:pPr>
      <w:r w:rsidRPr="008B3F4B">
        <w:rPr>
          <w:rFonts w:asciiTheme="minorHAnsi" w:eastAsia="Times New Roman" w:hAnsiTheme="minorHAnsi" w:cstheme="minorHAnsi"/>
          <w:color w:val="3D3B39"/>
          <w:lang w:eastAsia="it-IT"/>
        </w:rPr>
        <w:t xml:space="preserve">Gaia </w:t>
      </w:r>
      <w:proofErr w:type="spellStart"/>
      <w:r w:rsidRPr="008B3F4B">
        <w:rPr>
          <w:rFonts w:asciiTheme="minorHAnsi" w:eastAsia="Times New Roman" w:hAnsiTheme="minorHAnsi" w:cstheme="minorHAnsi"/>
          <w:color w:val="3D3B39"/>
          <w:lang w:eastAsia="it-IT"/>
        </w:rPr>
        <w:t>Tech</w:t>
      </w:r>
      <w:proofErr w:type="spellEnd"/>
      <w:r w:rsidRPr="008B3F4B">
        <w:rPr>
          <w:rFonts w:asciiTheme="minorHAnsi" w:eastAsia="Times New Roman" w:hAnsiTheme="minorHAnsi" w:cstheme="minorHAnsi"/>
          <w:color w:val="3D3B39"/>
          <w:lang w:eastAsia="it-IT"/>
        </w:rPr>
        <w:t xml:space="preserve"> </w:t>
      </w:r>
      <w:proofErr w:type="spellStart"/>
      <w:r w:rsidRPr="008B3F4B">
        <w:rPr>
          <w:rFonts w:asciiTheme="minorHAnsi" w:eastAsia="Times New Roman" w:hAnsiTheme="minorHAnsi" w:cstheme="minorHAnsi"/>
          <w:color w:val="3D3B39"/>
          <w:lang w:eastAsia="it-IT"/>
        </w:rPr>
        <w:t>srl</w:t>
      </w:r>
      <w:proofErr w:type="spellEnd"/>
      <w:r w:rsidRPr="008B3F4B">
        <w:rPr>
          <w:rFonts w:asciiTheme="minorHAnsi" w:eastAsia="Times New Roman" w:hAnsiTheme="minorHAnsi" w:cstheme="minorHAnsi"/>
          <w:color w:val="3D3B39"/>
          <w:lang w:eastAsia="it-IT"/>
        </w:rPr>
        <w:t>, in persona del legale rappresentante pro tempore, non costituita in giudizio;</w:t>
      </w:r>
    </w:p>
    <w:p w:rsidR="008B3F4B" w:rsidRPr="008B3F4B" w:rsidRDefault="008B3F4B" w:rsidP="008B3F4B">
      <w:pPr>
        <w:spacing w:after="265"/>
        <w:rPr>
          <w:rFonts w:asciiTheme="minorHAnsi" w:eastAsia="Times New Roman" w:hAnsiTheme="minorHAnsi" w:cstheme="minorHAnsi"/>
          <w:color w:val="3D3B39"/>
          <w:lang w:eastAsia="it-IT"/>
        </w:rPr>
      </w:pPr>
      <w:r w:rsidRPr="008B3F4B">
        <w:rPr>
          <w:rFonts w:asciiTheme="minorHAnsi" w:eastAsia="Times New Roman" w:hAnsiTheme="minorHAnsi" w:cstheme="minorHAnsi"/>
          <w:color w:val="3D3B39"/>
          <w:lang w:eastAsia="it-IT"/>
        </w:rPr>
        <w:t>per l'annullamento</w:t>
      </w:r>
    </w:p>
    <w:p w:rsidR="008B3F4B" w:rsidRPr="008B3F4B" w:rsidRDefault="008B3F4B" w:rsidP="008B3F4B">
      <w:pPr>
        <w:spacing w:after="265"/>
        <w:rPr>
          <w:rFonts w:asciiTheme="minorHAnsi" w:eastAsia="Times New Roman" w:hAnsiTheme="minorHAnsi" w:cstheme="minorHAnsi"/>
          <w:color w:val="3D3B39"/>
          <w:lang w:eastAsia="it-IT"/>
        </w:rPr>
      </w:pPr>
      <w:r w:rsidRPr="008B3F4B">
        <w:rPr>
          <w:rFonts w:asciiTheme="minorHAnsi" w:eastAsia="Times New Roman" w:hAnsiTheme="minorHAnsi" w:cstheme="minorHAnsi"/>
          <w:i/>
          <w:iCs/>
          <w:color w:val="3D3B39"/>
          <w:lang w:eastAsia="it-IT"/>
        </w:rPr>
        <w:t>previa sospensione dell’efficacia</w:t>
      </w:r>
    </w:p>
    <w:p w:rsidR="008B3F4B" w:rsidRPr="008B3F4B" w:rsidRDefault="008B3F4B" w:rsidP="008B3F4B">
      <w:pPr>
        <w:spacing w:after="265"/>
        <w:rPr>
          <w:rFonts w:asciiTheme="minorHAnsi" w:eastAsia="Times New Roman" w:hAnsiTheme="minorHAnsi" w:cstheme="minorHAnsi"/>
          <w:color w:val="3D3B39"/>
          <w:lang w:eastAsia="it-IT"/>
        </w:rPr>
      </w:pPr>
      <w:r w:rsidRPr="008B3F4B">
        <w:rPr>
          <w:rFonts w:asciiTheme="minorHAnsi" w:eastAsia="Times New Roman" w:hAnsiTheme="minorHAnsi" w:cstheme="minorHAnsi"/>
          <w:color w:val="3D3B39"/>
          <w:lang w:eastAsia="it-IT"/>
        </w:rPr>
        <w:t xml:space="preserve">a) della comunicazione di esclusione avente ad oggetto “Lavori di bonifica ex discarica in </w:t>
      </w:r>
      <w:proofErr w:type="spellStart"/>
      <w:r w:rsidRPr="008B3F4B">
        <w:rPr>
          <w:rFonts w:asciiTheme="minorHAnsi" w:eastAsia="Times New Roman" w:hAnsiTheme="minorHAnsi" w:cstheme="minorHAnsi"/>
          <w:color w:val="3D3B39"/>
          <w:lang w:eastAsia="it-IT"/>
        </w:rPr>
        <w:t>loc</w:t>
      </w:r>
      <w:proofErr w:type="spellEnd"/>
      <w:r w:rsidRPr="008B3F4B">
        <w:rPr>
          <w:rFonts w:asciiTheme="minorHAnsi" w:eastAsia="Times New Roman" w:hAnsiTheme="minorHAnsi" w:cstheme="minorHAnsi"/>
          <w:color w:val="3D3B39"/>
          <w:lang w:eastAsia="it-IT"/>
        </w:rPr>
        <w:t xml:space="preserve">. Scinà del Comune di Bovalino. Affidamento servizi attinenti all'architettura…” </w:t>
      </w:r>
      <w:proofErr w:type="spellStart"/>
      <w:r w:rsidRPr="008B3F4B">
        <w:rPr>
          <w:rFonts w:asciiTheme="minorHAnsi" w:eastAsia="Times New Roman" w:hAnsiTheme="minorHAnsi" w:cstheme="minorHAnsi"/>
          <w:color w:val="3D3B39"/>
          <w:lang w:eastAsia="it-IT"/>
        </w:rPr>
        <w:t>prot</w:t>
      </w:r>
      <w:proofErr w:type="spellEnd"/>
      <w:r w:rsidRPr="008B3F4B">
        <w:rPr>
          <w:rFonts w:asciiTheme="minorHAnsi" w:eastAsia="Times New Roman" w:hAnsiTheme="minorHAnsi" w:cstheme="minorHAnsi"/>
          <w:color w:val="3D3B39"/>
          <w:lang w:eastAsia="it-IT"/>
        </w:rPr>
        <w:t>. n. 33026 del 15/3/2019 emessa dalla Città metropolitana di Reggio Calabria- stazione Unica Appaltante, previa declaratoria del diritto delle ricorrenti di essere riammesse nella graduatoria, nonché di ogni altro atto presupposto, connesso e/o consequenziale;</w:t>
      </w:r>
    </w:p>
    <w:p w:rsidR="008B3F4B" w:rsidRPr="008B3F4B" w:rsidRDefault="008B3F4B" w:rsidP="008B3F4B">
      <w:pPr>
        <w:spacing w:after="265"/>
        <w:rPr>
          <w:rFonts w:asciiTheme="minorHAnsi" w:eastAsia="Times New Roman" w:hAnsiTheme="minorHAnsi" w:cstheme="minorHAnsi"/>
          <w:color w:val="3D3B39"/>
          <w:lang w:eastAsia="it-IT"/>
        </w:rPr>
      </w:pPr>
      <w:r w:rsidRPr="008B3F4B">
        <w:rPr>
          <w:rFonts w:asciiTheme="minorHAnsi" w:eastAsia="Times New Roman" w:hAnsiTheme="minorHAnsi" w:cstheme="minorHAnsi"/>
          <w:color w:val="3D3B39"/>
          <w:lang w:eastAsia="it-IT"/>
        </w:rPr>
        <w:t xml:space="preserve">b) della comunicazione di avvio procedimento di esclusione avente ad oggetto “Lavori di bonifica ex discarica in </w:t>
      </w:r>
      <w:proofErr w:type="spellStart"/>
      <w:r w:rsidRPr="008B3F4B">
        <w:rPr>
          <w:rFonts w:asciiTheme="minorHAnsi" w:eastAsia="Times New Roman" w:hAnsiTheme="minorHAnsi" w:cstheme="minorHAnsi"/>
          <w:color w:val="3D3B39"/>
          <w:lang w:eastAsia="it-IT"/>
        </w:rPr>
        <w:t>loc</w:t>
      </w:r>
      <w:proofErr w:type="spellEnd"/>
      <w:r w:rsidRPr="008B3F4B">
        <w:rPr>
          <w:rFonts w:asciiTheme="minorHAnsi" w:eastAsia="Times New Roman" w:hAnsiTheme="minorHAnsi" w:cstheme="minorHAnsi"/>
          <w:color w:val="3D3B39"/>
          <w:lang w:eastAsia="it-IT"/>
        </w:rPr>
        <w:t xml:space="preserve">. Scinà del Comune di Bovalino. Affidamento servizi attinenti all'architettura…” </w:t>
      </w:r>
      <w:proofErr w:type="spellStart"/>
      <w:r w:rsidRPr="008B3F4B">
        <w:rPr>
          <w:rFonts w:asciiTheme="minorHAnsi" w:eastAsia="Times New Roman" w:hAnsiTheme="minorHAnsi" w:cstheme="minorHAnsi"/>
          <w:color w:val="3D3B39"/>
          <w:lang w:eastAsia="it-IT"/>
        </w:rPr>
        <w:t>Prot</w:t>
      </w:r>
      <w:proofErr w:type="spellEnd"/>
      <w:r w:rsidRPr="008B3F4B">
        <w:rPr>
          <w:rFonts w:asciiTheme="minorHAnsi" w:eastAsia="Times New Roman" w:hAnsiTheme="minorHAnsi" w:cstheme="minorHAnsi"/>
          <w:color w:val="3D3B39"/>
          <w:lang w:eastAsia="it-IT"/>
        </w:rPr>
        <w:t>. n.29644, dell'8 marzo 2019, emessa dalla Città metropolitana di Reggio Calabria- stazione Unica Appaltante”.</w:t>
      </w:r>
    </w:p>
    <w:p w:rsidR="008B3F4B" w:rsidRPr="008B3F4B" w:rsidRDefault="008B3F4B" w:rsidP="008B3F4B">
      <w:pPr>
        <w:rPr>
          <w:rFonts w:asciiTheme="minorHAnsi" w:eastAsia="Times New Roman" w:hAnsiTheme="minorHAnsi" w:cstheme="minorHAnsi"/>
          <w:color w:val="3D3B39"/>
          <w:lang w:eastAsia="it-IT"/>
        </w:rPr>
      </w:pPr>
    </w:p>
    <w:p w:rsidR="008B3F4B" w:rsidRPr="008B3F4B" w:rsidRDefault="008B3F4B" w:rsidP="008B3F4B">
      <w:pPr>
        <w:spacing w:after="265"/>
        <w:rPr>
          <w:rFonts w:asciiTheme="minorHAnsi" w:eastAsia="Times New Roman" w:hAnsiTheme="minorHAnsi" w:cstheme="minorHAnsi"/>
          <w:color w:val="3D3B39"/>
          <w:lang w:eastAsia="it-IT"/>
        </w:rPr>
      </w:pPr>
      <w:r w:rsidRPr="008B3F4B">
        <w:rPr>
          <w:rFonts w:asciiTheme="minorHAnsi" w:eastAsia="Times New Roman" w:hAnsiTheme="minorHAnsi" w:cstheme="minorHAnsi"/>
          <w:color w:val="3D3B39"/>
          <w:lang w:eastAsia="it-IT"/>
        </w:rPr>
        <w:t>Visti il ricorso e i relativi allegati;</w:t>
      </w:r>
    </w:p>
    <w:p w:rsidR="008B3F4B" w:rsidRPr="008B3F4B" w:rsidRDefault="008B3F4B" w:rsidP="008B3F4B">
      <w:pPr>
        <w:spacing w:after="265"/>
        <w:rPr>
          <w:rFonts w:asciiTheme="minorHAnsi" w:eastAsia="Times New Roman" w:hAnsiTheme="minorHAnsi" w:cstheme="minorHAnsi"/>
          <w:color w:val="3D3B39"/>
          <w:lang w:eastAsia="it-IT"/>
        </w:rPr>
      </w:pPr>
      <w:r w:rsidRPr="008B3F4B">
        <w:rPr>
          <w:rFonts w:asciiTheme="minorHAnsi" w:eastAsia="Times New Roman" w:hAnsiTheme="minorHAnsi" w:cstheme="minorHAnsi"/>
          <w:color w:val="3D3B39"/>
          <w:lang w:eastAsia="it-IT"/>
        </w:rPr>
        <w:t>Visto l'atto di costituzione in giudizio della Città Metropolitana di Reggio Calabria;</w:t>
      </w:r>
    </w:p>
    <w:p w:rsidR="008B3F4B" w:rsidRPr="008B3F4B" w:rsidRDefault="008B3F4B" w:rsidP="008B3F4B">
      <w:pPr>
        <w:spacing w:after="265"/>
        <w:rPr>
          <w:rFonts w:asciiTheme="minorHAnsi" w:eastAsia="Times New Roman" w:hAnsiTheme="minorHAnsi" w:cstheme="minorHAnsi"/>
          <w:color w:val="3D3B39"/>
          <w:lang w:eastAsia="it-IT"/>
        </w:rPr>
      </w:pPr>
      <w:r w:rsidRPr="008B3F4B">
        <w:rPr>
          <w:rFonts w:asciiTheme="minorHAnsi" w:eastAsia="Times New Roman" w:hAnsiTheme="minorHAnsi" w:cstheme="minorHAnsi"/>
          <w:color w:val="3D3B39"/>
          <w:lang w:eastAsia="it-IT"/>
        </w:rPr>
        <w:t>Visti tutti gli atti della causa;</w:t>
      </w:r>
    </w:p>
    <w:p w:rsidR="008B3F4B" w:rsidRPr="008B3F4B" w:rsidRDefault="008B3F4B" w:rsidP="008B3F4B">
      <w:pPr>
        <w:spacing w:after="265"/>
        <w:rPr>
          <w:rFonts w:asciiTheme="minorHAnsi" w:eastAsia="Times New Roman" w:hAnsiTheme="minorHAnsi" w:cstheme="minorHAnsi"/>
          <w:color w:val="3D3B39"/>
          <w:lang w:eastAsia="it-IT"/>
        </w:rPr>
      </w:pPr>
      <w:r w:rsidRPr="008B3F4B">
        <w:rPr>
          <w:rFonts w:asciiTheme="minorHAnsi" w:eastAsia="Times New Roman" w:hAnsiTheme="minorHAnsi" w:cstheme="minorHAnsi"/>
          <w:color w:val="3D3B39"/>
          <w:lang w:eastAsia="it-IT"/>
        </w:rPr>
        <w:t>Relatore nella camera di consiglio del giorno 8 maggio 2019 il dott. Andrea De Col e uditi per le parti i difensori come specificato nel verbale;</w:t>
      </w:r>
    </w:p>
    <w:p w:rsidR="008B3F4B" w:rsidRPr="008B3F4B" w:rsidRDefault="008B3F4B" w:rsidP="008B3F4B">
      <w:pPr>
        <w:spacing w:after="265"/>
        <w:rPr>
          <w:rFonts w:asciiTheme="minorHAnsi" w:eastAsia="Times New Roman" w:hAnsiTheme="minorHAnsi" w:cstheme="minorHAnsi"/>
          <w:color w:val="3D3B39"/>
          <w:lang w:eastAsia="it-IT"/>
        </w:rPr>
      </w:pPr>
      <w:r w:rsidRPr="008B3F4B">
        <w:rPr>
          <w:rFonts w:asciiTheme="minorHAnsi" w:eastAsia="Times New Roman" w:hAnsiTheme="minorHAnsi" w:cstheme="minorHAnsi"/>
          <w:color w:val="3D3B39"/>
          <w:lang w:eastAsia="it-IT"/>
        </w:rPr>
        <w:t xml:space="preserve">Sentite le stesse parti ai sensi dell'art. 60 cod. </w:t>
      </w:r>
      <w:proofErr w:type="spellStart"/>
      <w:r w:rsidRPr="008B3F4B">
        <w:rPr>
          <w:rFonts w:asciiTheme="minorHAnsi" w:eastAsia="Times New Roman" w:hAnsiTheme="minorHAnsi" w:cstheme="minorHAnsi"/>
          <w:color w:val="3D3B39"/>
          <w:lang w:eastAsia="it-IT"/>
        </w:rPr>
        <w:t>proc</w:t>
      </w:r>
      <w:proofErr w:type="spellEnd"/>
      <w:r w:rsidRPr="008B3F4B">
        <w:rPr>
          <w:rFonts w:asciiTheme="minorHAnsi" w:eastAsia="Times New Roman" w:hAnsiTheme="minorHAnsi" w:cstheme="minorHAnsi"/>
          <w:color w:val="3D3B39"/>
          <w:lang w:eastAsia="it-IT"/>
        </w:rPr>
        <w:t xml:space="preserve">. </w:t>
      </w:r>
      <w:proofErr w:type="spellStart"/>
      <w:r w:rsidRPr="008B3F4B">
        <w:rPr>
          <w:rFonts w:asciiTheme="minorHAnsi" w:eastAsia="Times New Roman" w:hAnsiTheme="minorHAnsi" w:cstheme="minorHAnsi"/>
          <w:color w:val="3D3B39"/>
          <w:lang w:eastAsia="it-IT"/>
        </w:rPr>
        <w:t>amm</w:t>
      </w:r>
      <w:proofErr w:type="spellEnd"/>
      <w:r w:rsidRPr="008B3F4B">
        <w:rPr>
          <w:rFonts w:asciiTheme="minorHAnsi" w:eastAsia="Times New Roman" w:hAnsiTheme="minorHAnsi" w:cstheme="minorHAnsi"/>
          <w:color w:val="3D3B39"/>
          <w:lang w:eastAsia="it-IT"/>
        </w:rPr>
        <w:t>.;</w:t>
      </w:r>
    </w:p>
    <w:p w:rsidR="008B3F4B" w:rsidRPr="008B3F4B" w:rsidRDefault="008B3F4B" w:rsidP="008B3F4B">
      <w:pPr>
        <w:spacing w:after="265"/>
        <w:rPr>
          <w:rFonts w:asciiTheme="minorHAnsi" w:eastAsia="Times New Roman" w:hAnsiTheme="minorHAnsi" w:cstheme="minorHAnsi"/>
          <w:color w:val="3D3B39"/>
          <w:lang w:eastAsia="it-IT"/>
        </w:rPr>
      </w:pPr>
      <w:r w:rsidRPr="008B3F4B">
        <w:rPr>
          <w:rFonts w:asciiTheme="minorHAnsi" w:eastAsia="Times New Roman" w:hAnsiTheme="minorHAnsi" w:cstheme="minorHAnsi"/>
          <w:color w:val="3D3B39"/>
          <w:lang w:eastAsia="it-IT"/>
        </w:rPr>
        <w:t>Ritenuto e considerato in fatto e diritto quanto segue.</w:t>
      </w:r>
    </w:p>
    <w:p w:rsidR="008B3F4B" w:rsidRPr="008B3F4B" w:rsidRDefault="008B3F4B" w:rsidP="008B3F4B">
      <w:pPr>
        <w:spacing w:after="265"/>
        <w:jc w:val="center"/>
        <w:rPr>
          <w:rFonts w:asciiTheme="minorHAnsi" w:eastAsia="Times New Roman" w:hAnsiTheme="minorHAnsi" w:cstheme="minorHAnsi"/>
          <w:color w:val="3D3B39"/>
          <w:lang w:eastAsia="it-IT"/>
        </w:rPr>
      </w:pPr>
      <w:r w:rsidRPr="008B3F4B">
        <w:rPr>
          <w:rFonts w:asciiTheme="minorHAnsi" w:eastAsia="Times New Roman" w:hAnsiTheme="minorHAnsi" w:cstheme="minorHAnsi"/>
          <w:b/>
          <w:bCs/>
          <w:color w:val="3D3B39"/>
          <w:lang w:eastAsia="it-IT"/>
        </w:rPr>
        <w:lastRenderedPageBreak/>
        <w:t>FATTO e DIRITTO</w:t>
      </w:r>
    </w:p>
    <w:p w:rsidR="008B3F4B" w:rsidRPr="008B3F4B" w:rsidRDefault="008B3F4B" w:rsidP="008B3F4B">
      <w:pPr>
        <w:spacing w:after="265"/>
        <w:rPr>
          <w:rFonts w:asciiTheme="minorHAnsi" w:eastAsia="Times New Roman" w:hAnsiTheme="minorHAnsi" w:cstheme="minorHAnsi"/>
          <w:color w:val="3D3B39"/>
          <w:lang w:eastAsia="it-IT"/>
        </w:rPr>
      </w:pPr>
      <w:r w:rsidRPr="008B3F4B">
        <w:rPr>
          <w:rFonts w:asciiTheme="minorHAnsi" w:eastAsia="Times New Roman" w:hAnsiTheme="minorHAnsi" w:cstheme="minorHAnsi"/>
          <w:color w:val="3D3B39"/>
          <w:lang w:eastAsia="it-IT"/>
        </w:rPr>
        <w:t xml:space="preserve">1.-OMISSIS-. e -OMISSIS- hanno partecipato, in costituendo </w:t>
      </w:r>
      <w:proofErr w:type="spellStart"/>
      <w:r w:rsidRPr="008B3F4B">
        <w:rPr>
          <w:rFonts w:asciiTheme="minorHAnsi" w:eastAsia="Times New Roman" w:hAnsiTheme="minorHAnsi" w:cstheme="minorHAnsi"/>
          <w:color w:val="3D3B39"/>
          <w:lang w:eastAsia="it-IT"/>
        </w:rPr>
        <w:t>r.t.i</w:t>
      </w:r>
      <w:proofErr w:type="spellEnd"/>
      <w:r w:rsidRPr="008B3F4B">
        <w:rPr>
          <w:rFonts w:asciiTheme="minorHAnsi" w:eastAsia="Times New Roman" w:hAnsiTheme="minorHAnsi" w:cstheme="minorHAnsi"/>
          <w:color w:val="3D3B39"/>
          <w:lang w:eastAsia="it-IT"/>
        </w:rPr>
        <w:t>., alla gara d’appalto indetta dalla Città Metropolitana di Reggio Calabria per l’affidamento della progettazione esecutiva, coordinamento della sicurezza in fase di progettazione e direzione dei lavori di bonifica dell’ex discarica sita in località Scinà del Comune di Bovalino.</w:t>
      </w:r>
    </w:p>
    <w:p w:rsidR="008B3F4B" w:rsidRPr="008B3F4B" w:rsidRDefault="008B3F4B" w:rsidP="008B3F4B">
      <w:pPr>
        <w:spacing w:after="265"/>
        <w:rPr>
          <w:rFonts w:asciiTheme="minorHAnsi" w:eastAsia="Times New Roman" w:hAnsiTheme="minorHAnsi" w:cstheme="minorHAnsi"/>
          <w:color w:val="3D3B39"/>
          <w:lang w:eastAsia="it-IT"/>
        </w:rPr>
      </w:pPr>
      <w:r w:rsidRPr="008B3F4B">
        <w:rPr>
          <w:rFonts w:asciiTheme="minorHAnsi" w:eastAsia="Times New Roman" w:hAnsiTheme="minorHAnsi" w:cstheme="minorHAnsi"/>
          <w:color w:val="3D3B39"/>
          <w:lang w:eastAsia="it-IT"/>
        </w:rPr>
        <w:t>2.Espletate le operazioni di gara in cui hanno presentato l’offerta altre tre ditte concorrenti, è risultato vincitore il costituendo raggruppamento ricorrente.</w:t>
      </w:r>
    </w:p>
    <w:p w:rsidR="008B3F4B" w:rsidRPr="008B3F4B" w:rsidRDefault="008B3F4B" w:rsidP="008B3F4B">
      <w:pPr>
        <w:spacing w:after="265"/>
        <w:rPr>
          <w:rFonts w:asciiTheme="minorHAnsi" w:eastAsia="Times New Roman" w:hAnsiTheme="minorHAnsi" w:cstheme="minorHAnsi"/>
          <w:color w:val="3D3B39"/>
          <w:lang w:eastAsia="it-IT"/>
        </w:rPr>
      </w:pPr>
      <w:r w:rsidRPr="008B3F4B">
        <w:rPr>
          <w:rFonts w:asciiTheme="minorHAnsi" w:eastAsia="Times New Roman" w:hAnsiTheme="minorHAnsi" w:cstheme="minorHAnsi"/>
          <w:color w:val="3D3B39"/>
          <w:lang w:eastAsia="it-IT"/>
        </w:rPr>
        <w:t>3.In sede di verifica dei requisiti generali e speciali, la stazione appaltante ha tuttavia accertato che i legali rappresentanti delle predette società (il -OMISSIS- per la -OMISSIS- e l’ing. -OMISSIS- per la -OMISSIS-), non avevano indicato, nelle dichiarazioni presentate, l’esistenza di condanne penali definitive, risultanti dal casellario giudiziale.</w:t>
      </w:r>
    </w:p>
    <w:p w:rsidR="008B3F4B" w:rsidRPr="008B3F4B" w:rsidRDefault="008B3F4B" w:rsidP="008B3F4B">
      <w:pPr>
        <w:spacing w:after="265"/>
        <w:rPr>
          <w:rFonts w:asciiTheme="minorHAnsi" w:eastAsia="Times New Roman" w:hAnsiTheme="minorHAnsi" w:cstheme="minorHAnsi"/>
          <w:color w:val="3D3B39"/>
          <w:lang w:eastAsia="it-IT"/>
        </w:rPr>
      </w:pPr>
      <w:r w:rsidRPr="008B3F4B">
        <w:rPr>
          <w:rFonts w:asciiTheme="minorHAnsi" w:eastAsia="Times New Roman" w:hAnsiTheme="minorHAnsi" w:cstheme="minorHAnsi"/>
          <w:color w:val="3D3B39"/>
          <w:lang w:eastAsia="it-IT"/>
        </w:rPr>
        <w:t xml:space="preserve">L’omessa dichiarazione ha riguardato, quanto all’ing. -OMISSIS-, un decreto penale di condanna del 28.04.2011, esecutivo il 04.12.2011, emesso per il reato previsto dall’art. 256 del </w:t>
      </w:r>
      <w:proofErr w:type="spellStart"/>
      <w:r w:rsidRPr="008B3F4B">
        <w:rPr>
          <w:rFonts w:asciiTheme="minorHAnsi" w:eastAsia="Times New Roman" w:hAnsiTheme="minorHAnsi" w:cstheme="minorHAnsi"/>
          <w:color w:val="3D3B39"/>
          <w:lang w:eastAsia="it-IT"/>
        </w:rPr>
        <w:t>D.Lgs.</w:t>
      </w:r>
      <w:proofErr w:type="spellEnd"/>
      <w:r w:rsidRPr="008B3F4B">
        <w:rPr>
          <w:rFonts w:asciiTheme="minorHAnsi" w:eastAsia="Times New Roman" w:hAnsiTheme="minorHAnsi" w:cstheme="minorHAnsi"/>
          <w:color w:val="3D3B39"/>
          <w:lang w:eastAsia="it-IT"/>
        </w:rPr>
        <w:t xml:space="preserve"> n.152/2006, mentre il sig. -OMISSIS- aveva omesso di dichiarare la sentenza di condanna del 28.03.2000, divenuta irrevocabile l’01.06.2000, per il reato previsto dall’art. 14 comma 2 della legge 230/1998.</w:t>
      </w:r>
    </w:p>
    <w:p w:rsidR="008B3F4B" w:rsidRPr="008B3F4B" w:rsidRDefault="008B3F4B" w:rsidP="008B3F4B">
      <w:pPr>
        <w:spacing w:after="265"/>
        <w:rPr>
          <w:rFonts w:asciiTheme="minorHAnsi" w:eastAsia="Times New Roman" w:hAnsiTheme="minorHAnsi" w:cstheme="minorHAnsi"/>
          <w:color w:val="3D3B39"/>
          <w:lang w:eastAsia="it-IT"/>
        </w:rPr>
      </w:pPr>
      <w:r w:rsidRPr="008B3F4B">
        <w:rPr>
          <w:rFonts w:asciiTheme="minorHAnsi" w:eastAsia="Times New Roman" w:hAnsiTheme="minorHAnsi" w:cstheme="minorHAnsi"/>
          <w:color w:val="3D3B39"/>
          <w:lang w:eastAsia="it-IT"/>
        </w:rPr>
        <w:t xml:space="preserve">4.Con nota n.33026 del 15.03.19, comunicata a mezzo </w:t>
      </w:r>
      <w:proofErr w:type="spellStart"/>
      <w:r w:rsidRPr="008B3F4B">
        <w:rPr>
          <w:rFonts w:asciiTheme="minorHAnsi" w:eastAsia="Times New Roman" w:hAnsiTheme="minorHAnsi" w:cstheme="minorHAnsi"/>
          <w:color w:val="3D3B39"/>
          <w:lang w:eastAsia="it-IT"/>
        </w:rPr>
        <w:t>pec</w:t>
      </w:r>
      <w:proofErr w:type="spellEnd"/>
      <w:r w:rsidRPr="008B3F4B">
        <w:rPr>
          <w:rFonts w:asciiTheme="minorHAnsi" w:eastAsia="Times New Roman" w:hAnsiTheme="minorHAnsi" w:cstheme="minorHAnsi"/>
          <w:color w:val="3D3B39"/>
          <w:lang w:eastAsia="it-IT"/>
        </w:rPr>
        <w:t xml:space="preserve"> in data 18.03.19, la stessa stazione appaltante, previa attivazione del contraddittorio </w:t>
      </w:r>
      <w:proofErr w:type="spellStart"/>
      <w:r w:rsidRPr="008B3F4B">
        <w:rPr>
          <w:rFonts w:asciiTheme="minorHAnsi" w:eastAsia="Times New Roman" w:hAnsiTheme="minorHAnsi" w:cstheme="minorHAnsi"/>
          <w:color w:val="3D3B39"/>
          <w:lang w:eastAsia="it-IT"/>
        </w:rPr>
        <w:t>predecisorio</w:t>
      </w:r>
      <w:proofErr w:type="spellEnd"/>
      <w:r w:rsidRPr="008B3F4B">
        <w:rPr>
          <w:rFonts w:asciiTheme="minorHAnsi" w:eastAsia="Times New Roman" w:hAnsiTheme="minorHAnsi" w:cstheme="minorHAnsi"/>
          <w:color w:val="3D3B39"/>
          <w:lang w:eastAsia="it-IT"/>
        </w:rPr>
        <w:t xml:space="preserve">, ha quindi comunicato l’esclusione dalla procedura di gara per l’omessa dichiarazione delle condanne riportate ex art.80 comma 1 </w:t>
      </w:r>
      <w:proofErr w:type="spellStart"/>
      <w:r w:rsidRPr="008B3F4B">
        <w:rPr>
          <w:rFonts w:asciiTheme="minorHAnsi" w:eastAsia="Times New Roman" w:hAnsiTheme="minorHAnsi" w:cstheme="minorHAnsi"/>
          <w:color w:val="3D3B39"/>
          <w:lang w:eastAsia="it-IT"/>
        </w:rPr>
        <w:t>lett</w:t>
      </w:r>
      <w:proofErr w:type="spellEnd"/>
      <w:r w:rsidRPr="008B3F4B">
        <w:rPr>
          <w:rFonts w:asciiTheme="minorHAnsi" w:eastAsia="Times New Roman" w:hAnsiTheme="minorHAnsi" w:cstheme="minorHAnsi"/>
          <w:color w:val="3D3B39"/>
          <w:lang w:eastAsia="it-IT"/>
        </w:rPr>
        <w:t xml:space="preserve">. f-bis) D. </w:t>
      </w:r>
      <w:proofErr w:type="spellStart"/>
      <w:r w:rsidRPr="008B3F4B">
        <w:rPr>
          <w:rFonts w:asciiTheme="minorHAnsi" w:eastAsia="Times New Roman" w:hAnsiTheme="minorHAnsi" w:cstheme="minorHAnsi"/>
          <w:color w:val="3D3B39"/>
          <w:lang w:eastAsia="it-IT"/>
        </w:rPr>
        <w:t>Lgs</w:t>
      </w:r>
      <w:proofErr w:type="spellEnd"/>
      <w:r w:rsidRPr="008B3F4B">
        <w:rPr>
          <w:rFonts w:asciiTheme="minorHAnsi" w:eastAsia="Times New Roman" w:hAnsiTheme="minorHAnsi" w:cstheme="minorHAnsi"/>
          <w:color w:val="3D3B39"/>
          <w:lang w:eastAsia="it-IT"/>
        </w:rPr>
        <w:t xml:space="preserve"> n.50/16.</w:t>
      </w:r>
    </w:p>
    <w:p w:rsidR="008B3F4B" w:rsidRPr="008B3F4B" w:rsidRDefault="008B3F4B" w:rsidP="008B3F4B">
      <w:pPr>
        <w:spacing w:after="265"/>
        <w:rPr>
          <w:rFonts w:asciiTheme="minorHAnsi" w:eastAsia="Times New Roman" w:hAnsiTheme="minorHAnsi" w:cstheme="minorHAnsi"/>
          <w:color w:val="3D3B39"/>
          <w:lang w:eastAsia="it-IT"/>
        </w:rPr>
      </w:pPr>
      <w:r w:rsidRPr="008B3F4B">
        <w:rPr>
          <w:rFonts w:asciiTheme="minorHAnsi" w:eastAsia="Times New Roman" w:hAnsiTheme="minorHAnsi" w:cstheme="minorHAnsi"/>
          <w:color w:val="3D3B39"/>
          <w:lang w:eastAsia="it-IT"/>
        </w:rPr>
        <w:t>5.Con ricorso notificato il 12 aprile 2019 e depositato il 19 aprile successivo le società ricorrenti hanno chiesto l’annullamento, previa sospensione dell’efficacia, degli atti meglio descritti in epigrafe e la conseguente riammissione nella posizione acquisita in graduatoria, deducendo le seguenti censure:</w:t>
      </w:r>
    </w:p>
    <w:p w:rsidR="008B3F4B" w:rsidRPr="008B3F4B" w:rsidRDefault="008B3F4B" w:rsidP="008B3F4B">
      <w:pPr>
        <w:spacing w:after="265"/>
        <w:rPr>
          <w:rFonts w:asciiTheme="minorHAnsi" w:eastAsia="Times New Roman" w:hAnsiTheme="minorHAnsi" w:cstheme="minorHAnsi"/>
          <w:color w:val="3D3B39"/>
          <w:lang w:eastAsia="it-IT"/>
        </w:rPr>
      </w:pPr>
      <w:r w:rsidRPr="008B3F4B">
        <w:rPr>
          <w:rFonts w:asciiTheme="minorHAnsi" w:eastAsia="Times New Roman" w:hAnsiTheme="minorHAnsi" w:cstheme="minorHAnsi"/>
          <w:color w:val="3D3B39"/>
          <w:lang w:eastAsia="it-IT"/>
        </w:rPr>
        <w:t>5.1.</w:t>
      </w:r>
      <w:r w:rsidRPr="008B3F4B">
        <w:rPr>
          <w:rFonts w:asciiTheme="minorHAnsi" w:eastAsia="Times New Roman" w:hAnsiTheme="minorHAnsi" w:cstheme="minorHAnsi"/>
          <w:i/>
          <w:iCs/>
          <w:color w:val="3D3B39"/>
          <w:lang w:eastAsia="it-IT"/>
        </w:rPr>
        <w:t xml:space="preserve">Error in iudicando per violazione e falsa applicazione dell’art. 80 del D.lgs. n. 50/2016, sull’ irrilevanza dell’omessa dichiarazione, sulla violazione e falsa applicazione dell’art. 38 comma 1 </w:t>
      </w:r>
      <w:proofErr w:type="spellStart"/>
      <w:r w:rsidRPr="008B3F4B">
        <w:rPr>
          <w:rFonts w:asciiTheme="minorHAnsi" w:eastAsia="Times New Roman" w:hAnsiTheme="minorHAnsi" w:cstheme="minorHAnsi"/>
          <w:i/>
          <w:iCs/>
          <w:color w:val="3D3B39"/>
          <w:lang w:eastAsia="it-IT"/>
        </w:rPr>
        <w:t>lett</w:t>
      </w:r>
      <w:proofErr w:type="spellEnd"/>
      <w:r w:rsidRPr="008B3F4B">
        <w:rPr>
          <w:rFonts w:asciiTheme="minorHAnsi" w:eastAsia="Times New Roman" w:hAnsiTheme="minorHAnsi" w:cstheme="minorHAnsi"/>
          <w:i/>
          <w:iCs/>
          <w:color w:val="3D3B39"/>
          <w:lang w:eastAsia="it-IT"/>
        </w:rPr>
        <w:t>. C) del D.lgs. n. 163/2006, sull’eccesso di potere per erronea presupposizione e carente istruttoria, sulla carenza di motivazione, sulla violazione del principio di tassatività delle cause di esclusione ex art. 83 del Codice dei contratti pubblici, nonché sulla violazione della Direttiva 2014/24/CE.</w:t>
      </w:r>
    </w:p>
    <w:p w:rsidR="008B3F4B" w:rsidRPr="008B3F4B" w:rsidRDefault="008B3F4B" w:rsidP="008B3F4B">
      <w:pPr>
        <w:spacing w:after="265"/>
        <w:rPr>
          <w:rFonts w:asciiTheme="minorHAnsi" w:eastAsia="Times New Roman" w:hAnsiTheme="minorHAnsi" w:cstheme="minorHAnsi"/>
          <w:color w:val="3D3B39"/>
          <w:lang w:eastAsia="it-IT"/>
        </w:rPr>
      </w:pPr>
      <w:r w:rsidRPr="008B3F4B">
        <w:rPr>
          <w:rFonts w:asciiTheme="minorHAnsi" w:eastAsia="Times New Roman" w:hAnsiTheme="minorHAnsi" w:cstheme="minorHAnsi"/>
          <w:color w:val="3D3B39"/>
          <w:lang w:eastAsia="it-IT"/>
        </w:rPr>
        <w:t>A sostegno del primo motivo di gravame, il raggruppamento evidenzia che: a) i reati per i quali i rispettivi rappresentanti legali sono stati condannati (l’ing. Landi per reati in materia ambientale e il -OMISSIS- per il reato previsto dall’art. 14, comma 2, della legge n. 230/1998, successivamente abrogato per effetto del provvedimento del 17 aprile 2019 dal Tribunale di Pesaro – Giudice dell’Esecuzione Penale) non rientrano tra quelli indicati dall’art. 80 del D.lgs. n.80/2016 a pena di esclusione; b) l’Amministrazione ha omesso ogni valutazione circa l’effettivo possesso dei requisiti professionali e morali richiesti e c) il bando di gara è generico ed equivoco nella misura in cui non ha specificato la doverosità della comunicazione di qualsiasi condanna per qualsiasi titolo di reato.</w:t>
      </w:r>
    </w:p>
    <w:p w:rsidR="008B3F4B" w:rsidRPr="008B3F4B" w:rsidRDefault="008B3F4B" w:rsidP="008B3F4B">
      <w:pPr>
        <w:spacing w:after="265"/>
        <w:rPr>
          <w:rFonts w:asciiTheme="minorHAnsi" w:eastAsia="Times New Roman" w:hAnsiTheme="minorHAnsi" w:cstheme="minorHAnsi"/>
          <w:color w:val="3D3B39"/>
          <w:lang w:eastAsia="it-IT"/>
        </w:rPr>
      </w:pPr>
      <w:r w:rsidRPr="008B3F4B">
        <w:rPr>
          <w:rFonts w:asciiTheme="minorHAnsi" w:eastAsia="Times New Roman" w:hAnsiTheme="minorHAnsi" w:cstheme="minorHAnsi"/>
          <w:color w:val="3D3B39"/>
          <w:lang w:eastAsia="it-IT"/>
        </w:rPr>
        <w:t>5.2.</w:t>
      </w:r>
      <w:r w:rsidRPr="008B3F4B">
        <w:rPr>
          <w:rFonts w:asciiTheme="minorHAnsi" w:eastAsia="Times New Roman" w:hAnsiTheme="minorHAnsi" w:cstheme="minorHAnsi"/>
          <w:i/>
          <w:iCs/>
          <w:color w:val="3D3B39"/>
          <w:lang w:eastAsia="it-IT"/>
        </w:rPr>
        <w:t xml:space="preserve">Errore in iudicando per violazione e falsa applicazione dell’art. 80 del D.lgs. n. 50/2016, sull’art. 445 c.p.p., sull’estinzione del reato, sull’irrilevanza dell’omessa dichiarazione, sulla violazione dell’art. 3 della L. 241/1990, sul difetto di motivazione, sulla carenza dell’istruttoria, nonché sulla violazione dell’art. 38 comma 1 </w:t>
      </w:r>
      <w:proofErr w:type="spellStart"/>
      <w:r w:rsidRPr="008B3F4B">
        <w:rPr>
          <w:rFonts w:asciiTheme="minorHAnsi" w:eastAsia="Times New Roman" w:hAnsiTheme="minorHAnsi" w:cstheme="minorHAnsi"/>
          <w:i/>
          <w:iCs/>
          <w:color w:val="3D3B39"/>
          <w:lang w:eastAsia="it-IT"/>
        </w:rPr>
        <w:t>lett</w:t>
      </w:r>
      <w:proofErr w:type="spellEnd"/>
      <w:r w:rsidRPr="008B3F4B">
        <w:rPr>
          <w:rFonts w:asciiTheme="minorHAnsi" w:eastAsia="Times New Roman" w:hAnsiTheme="minorHAnsi" w:cstheme="minorHAnsi"/>
          <w:i/>
          <w:iCs/>
          <w:color w:val="3D3B39"/>
          <w:lang w:eastAsia="it-IT"/>
        </w:rPr>
        <w:t>. C) e comma 2 del Codice dei contratti pubblici</w:t>
      </w:r>
      <w:r w:rsidRPr="008B3F4B">
        <w:rPr>
          <w:rFonts w:asciiTheme="minorHAnsi" w:eastAsia="Times New Roman" w:hAnsiTheme="minorHAnsi" w:cstheme="minorHAnsi"/>
          <w:color w:val="3D3B39"/>
          <w:lang w:eastAsia="it-IT"/>
        </w:rPr>
        <w:t>.</w:t>
      </w:r>
    </w:p>
    <w:p w:rsidR="008B3F4B" w:rsidRPr="008B3F4B" w:rsidRDefault="008B3F4B" w:rsidP="008B3F4B">
      <w:pPr>
        <w:spacing w:after="265"/>
        <w:rPr>
          <w:rFonts w:asciiTheme="minorHAnsi" w:eastAsia="Times New Roman" w:hAnsiTheme="minorHAnsi" w:cstheme="minorHAnsi"/>
          <w:color w:val="3D3B39"/>
          <w:lang w:eastAsia="it-IT"/>
        </w:rPr>
      </w:pPr>
      <w:r w:rsidRPr="008B3F4B">
        <w:rPr>
          <w:rFonts w:asciiTheme="minorHAnsi" w:eastAsia="Times New Roman" w:hAnsiTheme="minorHAnsi" w:cstheme="minorHAnsi"/>
          <w:color w:val="3D3B39"/>
          <w:lang w:eastAsia="it-IT"/>
        </w:rPr>
        <w:t xml:space="preserve">Con la seconda censura le ricorrenti, nel dolersi nuovamente che i reati per i quali sono stati condannati i rispettivi rappresentanti legali esulano dall’elencazione di cui all’art. 80 del D.lgs. n. 50/2016, sottolineano trattarsi di reati ambedue estinti che non erano, per ciò solo, tenute a dichiarare, vuoi per il decorso del tempo ex art. 445, comma 2, c.p.p. vuoi, quanto alla posizione del -OMISSIS-, per </w:t>
      </w:r>
      <w:proofErr w:type="spellStart"/>
      <w:r w:rsidRPr="008B3F4B">
        <w:rPr>
          <w:rFonts w:asciiTheme="minorHAnsi" w:eastAsia="Times New Roman" w:hAnsiTheme="minorHAnsi" w:cstheme="minorHAnsi"/>
          <w:i/>
          <w:iCs/>
          <w:color w:val="3D3B39"/>
          <w:lang w:eastAsia="it-IT"/>
        </w:rPr>
        <w:t>abolitio</w:t>
      </w:r>
      <w:proofErr w:type="spellEnd"/>
      <w:r w:rsidRPr="008B3F4B">
        <w:rPr>
          <w:rFonts w:asciiTheme="minorHAnsi" w:eastAsia="Times New Roman" w:hAnsiTheme="minorHAnsi" w:cstheme="minorHAnsi"/>
          <w:i/>
          <w:iCs/>
          <w:color w:val="3D3B39"/>
          <w:lang w:eastAsia="it-IT"/>
        </w:rPr>
        <w:t xml:space="preserve"> </w:t>
      </w:r>
      <w:proofErr w:type="spellStart"/>
      <w:r w:rsidRPr="008B3F4B">
        <w:rPr>
          <w:rFonts w:asciiTheme="minorHAnsi" w:eastAsia="Times New Roman" w:hAnsiTheme="minorHAnsi" w:cstheme="minorHAnsi"/>
          <w:i/>
          <w:iCs/>
          <w:color w:val="3D3B39"/>
          <w:lang w:eastAsia="it-IT"/>
        </w:rPr>
        <w:t>criminis</w:t>
      </w:r>
      <w:proofErr w:type="spellEnd"/>
      <w:r w:rsidRPr="008B3F4B">
        <w:rPr>
          <w:rFonts w:asciiTheme="minorHAnsi" w:eastAsia="Times New Roman" w:hAnsiTheme="minorHAnsi" w:cstheme="minorHAnsi"/>
          <w:color w:val="3D3B39"/>
          <w:lang w:eastAsia="it-IT"/>
        </w:rPr>
        <w:t>.</w:t>
      </w:r>
    </w:p>
    <w:p w:rsidR="008B3F4B" w:rsidRPr="008B3F4B" w:rsidRDefault="008B3F4B" w:rsidP="008B3F4B">
      <w:pPr>
        <w:spacing w:after="265"/>
        <w:rPr>
          <w:rFonts w:asciiTheme="minorHAnsi" w:eastAsia="Times New Roman" w:hAnsiTheme="minorHAnsi" w:cstheme="minorHAnsi"/>
          <w:color w:val="3D3B39"/>
          <w:lang w:eastAsia="it-IT"/>
        </w:rPr>
      </w:pPr>
      <w:r w:rsidRPr="008B3F4B">
        <w:rPr>
          <w:rFonts w:asciiTheme="minorHAnsi" w:eastAsia="Times New Roman" w:hAnsiTheme="minorHAnsi" w:cstheme="minorHAnsi"/>
          <w:color w:val="3D3B39"/>
          <w:lang w:eastAsia="it-IT"/>
        </w:rPr>
        <w:lastRenderedPageBreak/>
        <w:t xml:space="preserve">6.Si è costituita in giudizio la sola Amministrazione intimata, depositando documenti e memoria difensiva, e non la Gaia </w:t>
      </w:r>
      <w:proofErr w:type="spellStart"/>
      <w:r w:rsidRPr="008B3F4B">
        <w:rPr>
          <w:rFonts w:asciiTheme="minorHAnsi" w:eastAsia="Times New Roman" w:hAnsiTheme="minorHAnsi" w:cstheme="minorHAnsi"/>
          <w:color w:val="3D3B39"/>
          <w:lang w:eastAsia="it-IT"/>
        </w:rPr>
        <w:t>Tech</w:t>
      </w:r>
      <w:proofErr w:type="spellEnd"/>
      <w:r w:rsidRPr="008B3F4B">
        <w:rPr>
          <w:rFonts w:asciiTheme="minorHAnsi" w:eastAsia="Times New Roman" w:hAnsiTheme="minorHAnsi" w:cstheme="minorHAnsi"/>
          <w:color w:val="3D3B39"/>
          <w:lang w:eastAsia="it-IT"/>
        </w:rPr>
        <w:t xml:space="preserve"> </w:t>
      </w:r>
      <w:proofErr w:type="spellStart"/>
      <w:r w:rsidRPr="008B3F4B">
        <w:rPr>
          <w:rFonts w:asciiTheme="minorHAnsi" w:eastAsia="Times New Roman" w:hAnsiTheme="minorHAnsi" w:cstheme="minorHAnsi"/>
          <w:color w:val="3D3B39"/>
          <w:lang w:eastAsia="it-IT"/>
        </w:rPr>
        <w:t>srl</w:t>
      </w:r>
      <w:proofErr w:type="spellEnd"/>
      <w:r w:rsidRPr="008B3F4B">
        <w:rPr>
          <w:rFonts w:asciiTheme="minorHAnsi" w:eastAsia="Times New Roman" w:hAnsiTheme="minorHAnsi" w:cstheme="minorHAnsi"/>
          <w:color w:val="3D3B39"/>
          <w:lang w:eastAsia="it-IT"/>
        </w:rPr>
        <w:t xml:space="preserve"> evocata in giudizio quale presunta </w:t>
      </w:r>
      <w:proofErr w:type="spellStart"/>
      <w:r w:rsidRPr="008B3F4B">
        <w:rPr>
          <w:rFonts w:asciiTheme="minorHAnsi" w:eastAsia="Times New Roman" w:hAnsiTheme="minorHAnsi" w:cstheme="minorHAnsi"/>
          <w:color w:val="3D3B39"/>
          <w:lang w:eastAsia="it-IT"/>
        </w:rPr>
        <w:t>controinteressata</w:t>
      </w:r>
      <w:proofErr w:type="spellEnd"/>
      <w:r w:rsidRPr="008B3F4B">
        <w:rPr>
          <w:rFonts w:asciiTheme="minorHAnsi" w:eastAsia="Times New Roman" w:hAnsiTheme="minorHAnsi" w:cstheme="minorHAnsi"/>
          <w:color w:val="3D3B39"/>
          <w:lang w:eastAsia="it-IT"/>
        </w:rPr>
        <w:t>.</w:t>
      </w:r>
    </w:p>
    <w:p w:rsidR="008B3F4B" w:rsidRPr="008B3F4B" w:rsidRDefault="008B3F4B" w:rsidP="008B3F4B">
      <w:pPr>
        <w:spacing w:after="265"/>
        <w:rPr>
          <w:rFonts w:asciiTheme="minorHAnsi" w:eastAsia="Times New Roman" w:hAnsiTheme="minorHAnsi" w:cstheme="minorHAnsi"/>
          <w:color w:val="3D3B39"/>
          <w:lang w:eastAsia="it-IT"/>
        </w:rPr>
      </w:pPr>
      <w:r w:rsidRPr="008B3F4B">
        <w:rPr>
          <w:rFonts w:asciiTheme="minorHAnsi" w:eastAsia="Times New Roman" w:hAnsiTheme="minorHAnsi" w:cstheme="minorHAnsi"/>
          <w:color w:val="3D3B39"/>
          <w:lang w:eastAsia="it-IT"/>
        </w:rPr>
        <w:t>7.All’udienza in camera di consiglio dell’8 maggio 2019 fissata per la trattazione dell’istanza incidentale di sospensione dell’atto impugnato, la causa è stata discussa e posta in decisione.</w:t>
      </w:r>
    </w:p>
    <w:p w:rsidR="008B3F4B" w:rsidRPr="008B3F4B" w:rsidRDefault="008B3F4B" w:rsidP="008B3F4B">
      <w:pPr>
        <w:spacing w:after="265"/>
        <w:rPr>
          <w:rFonts w:asciiTheme="minorHAnsi" w:eastAsia="Times New Roman" w:hAnsiTheme="minorHAnsi" w:cstheme="minorHAnsi"/>
          <w:color w:val="3D3B39"/>
          <w:lang w:eastAsia="it-IT"/>
        </w:rPr>
      </w:pPr>
      <w:r w:rsidRPr="008B3F4B">
        <w:rPr>
          <w:rFonts w:asciiTheme="minorHAnsi" w:eastAsia="Times New Roman" w:hAnsiTheme="minorHAnsi" w:cstheme="minorHAnsi"/>
          <w:color w:val="3D3B39"/>
          <w:lang w:eastAsia="it-IT"/>
        </w:rPr>
        <w:t xml:space="preserve">8.Preliminarmente il Collegio ravvisa la sussistenza dei presupposti di legge per definire il giudizio nella presente sede cautelare, con sentenza in forma semplificata ai sensi degli artt. 60 e 120 </w:t>
      </w:r>
      <w:proofErr w:type="spellStart"/>
      <w:r w:rsidRPr="008B3F4B">
        <w:rPr>
          <w:rFonts w:asciiTheme="minorHAnsi" w:eastAsia="Times New Roman" w:hAnsiTheme="minorHAnsi" w:cstheme="minorHAnsi"/>
          <w:color w:val="3D3B39"/>
          <w:lang w:eastAsia="it-IT"/>
        </w:rPr>
        <w:t>c.p.a</w:t>
      </w:r>
      <w:proofErr w:type="spellEnd"/>
      <w:r w:rsidRPr="008B3F4B">
        <w:rPr>
          <w:rFonts w:asciiTheme="minorHAnsi" w:eastAsia="Times New Roman" w:hAnsiTheme="minorHAnsi" w:cstheme="minorHAnsi"/>
          <w:color w:val="3D3B39"/>
          <w:lang w:eastAsia="it-IT"/>
        </w:rPr>
        <w:t>., essendo, tra l’altro, state rese edotte le parti di tale eventualità, come consta dal verbale d’udienza.</w:t>
      </w:r>
    </w:p>
    <w:p w:rsidR="008B3F4B" w:rsidRPr="008B3F4B" w:rsidRDefault="008B3F4B" w:rsidP="008B3F4B">
      <w:pPr>
        <w:spacing w:after="265"/>
        <w:rPr>
          <w:rFonts w:asciiTheme="minorHAnsi" w:eastAsia="Times New Roman" w:hAnsiTheme="minorHAnsi" w:cstheme="minorHAnsi"/>
          <w:color w:val="3D3B39"/>
          <w:lang w:eastAsia="it-IT"/>
        </w:rPr>
      </w:pPr>
      <w:r w:rsidRPr="008B3F4B">
        <w:rPr>
          <w:rFonts w:asciiTheme="minorHAnsi" w:eastAsia="Times New Roman" w:hAnsiTheme="minorHAnsi" w:cstheme="minorHAnsi"/>
          <w:color w:val="3D3B39"/>
          <w:lang w:eastAsia="it-IT"/>
        </w:rPr>
        <w:t xml:space="preserve">9.Sempre in rito, il Collegio, essendo la relativa questione emersa nel corso della discussione, precisa che la controversia è e continua ad essere regolata dall’art. 120, comma 2 bis, </w:t>
      </w:r>
      <w:proofErr w:type="spellStart"/>
      <w:r w:rsidRPr="008B3F4B">
        <w:rPr>
          <w:rFonts w:asciiTheme="minorHAnsi" w:eastAsia="Times New Roman" w:hAnsiTheme="minorHAnsi" w:cstheme="minorHAnsi"/>
          <w:color w:val="3D3B39"/>
          <w:lang w:eastAsia="it-IT"/>
        </w:rPr>
        <w:t>c.p.a</w:t>
      </w:r>
      <w:proofErr w:type="spellEnd"/>
      <w:r w:rsidRPr="008B3F4B">
        <w:rPr>
          <w:rFonts w:asciiTheme="minorHAnsi" w:eastAsia="Times New Roman" w:hAnsiTheme="minorHAnsi" w:cstheme="minorHAnsi"/>
          <w:color w:val="3D3B39"/>
          <w:lang w:eastAsia="it-IT"/>
        </w:rPr>
        <w:t>., nonostante quest’ultima disposizione sia stata abrogata dall’art.1, comma 4, del D.L. 18 aprile 2019, n.32 entrato in vigore lo stesso giorno del deposito del presente ricorso (19 aprile 2019) che, però, è stato validamente notificato in data anteriore (12 aprile 2019).</w:t>
      </w:r>
    </w:p>
    <w:p w:rsidR="008B3F4B" w:rsidRPr="008B3F4B" w:rsidRDefault="008B3F4B" w:rsidP="008B3F4B">
      <w:pPr>
        <w:spacing w:after="265"/>
        <w:rPr>
          <w:rFonts w:asciiTheme="minorHAnsi" w:eastAsia="Times New Roman" w:hAnsiTheme="minorHAnsi" w:cstheme="minorHAnsi"/>
          <w:color w:val="3D3B39"/>
          <w:lang w:eastAsia="it-IT"/>
        </w:rPr>
      </w:pPr>
      <w:r w:rsidRPr="008B3F4B">
        <w:rPr>
          <w:rFonts w:asciiTheme="minorHAnsi" w:eastAsia="Times New Roman" w:hAnsiTheme="minorHAnsi" w:cstheme="minorHAnsi"/>
          <w:color w:val="3D3B39"/>
          <w:lang w:eastAsia="it-IT"/>
        </w:rPr>
        <w:t xml:space="preserve">La disposizione appena riportata, infatti, determina la soppressione del rito “super speciale” introdotto dall’art. 204 del D.lgs. n. 50/2016, residuando così all’attualità, all’art. 120 </w:t>
      </w:r>
      <w:proofErr w:type="spellStart"/>
      <w:r w:rsidRPr="008B3F4B">
        <w:rPr>
          <w:rFonts w:asciiTheme="minorHAnsi" w:eastAsia="Times New Roman" w:hAnsiTheme="minorHAnsi" w:cstheme="minorHAnsi"/>
          <w:color w:val="3D3B39"/>
          <w:lang w:eastAsia="it-IT"/>
        </w:rPr>
        <w:t>c.p.a</w:t>
      </w:r>
      <w:proofErr w:type="spellEnd"/>
      <w:r w:rsidRPr="008B3F4B">
        <w:rPr>
          <w:rFonts w:asciiTheme="minorHAnsi" w:eastAsia="Times New Roman" w:hAnsiTheme="minorHAnsi" w:cstheme="minorHAnsi"/>
          <w:color w:val="3D3B39"/>
          <w:lang w:eastAsia="it-IT"/>
        </w:rPr>
        <w:t>., soltanto il suddetto rito “speciale” appalti, introdotto con l’entrata in vigore del codice del processo amministrativo (D.lgs. 2 luglio 2010, n. 104).</w:t>
      </w:r>
    </w:p>
    <w:p w:rsidR="008B3F4B" w:rsidRPr="008B3F4B" w:rsidRDefault="008B3F4B" w:rsidP="008B3F4B">
      <w:pPr>
        <w:spacing w:after="265"/>
        <w:rPr>
          <w:rFonts w:asciiTheme="minorHAnsi" w:eastAsia="Times New Roman" w:hAnsiTheme="minorHAnsi" w:cstheme="minorHAnsi"/>
          <w:color w:val="3D3B39"/>
          <w:lang w:eastAsia="it-IT"/>
        </w:rPr>
      </w:pPr>
      <w:r w:rsidRPr="008B3F4B">
        <w:rPr>
          <w:rFonts w:asciiTheme="minorHAnsi" w:eastAsia="Times New Roman" w:hAnsiTheme="minorHAnsi" w:cstheme="minorHAnsi"/>
          <w:color w:val="3D3B39"/>
          <w:lang w:eastAsia="it-IT"/>
        </w:rPr>
        <w:t>La latitudine applicativa di quest’ultima norma rivive con riferimento sia ai ricorsi proposti avverso i provvedimenti autonomamente ed immediatamente lesivi che determinano le esclusioni dalla procedura di affidamento (come nel caso di specie), sia ai ricorsi avverso i provvedimenti che determinano le altrui ammissioni, la cui impugnazione, in virtù della disposizione abrogante, ritorna a dover essere posticipata al momento dell’aggiudicazione definitiva ovvero a quello in cui (per la prima volta) l’interesse a ricorrere da parte del concorrente, insoddisfatto dall’esito della gara, diventa concreto ed attuale.</w:t>
      </w:r>
    </w:p>
    <w:p w:rsidR="008B3F4B" w:rsidRPr="008B3F4B" w:rsidRDefault="008B3F4B" w:rsidP="008B3F4B">
      <w:pPr>
        <w:spacing w:after="265"/>
        <w:rPr>
          <w:rFonts w:asciiTheme="minorHAnsi" w:eastAsia="Times New Roman" w:hAnsiTheme="minorHAnsi" w:cstheme="minorHAnsi"/>
          <w:color w:val="3D3B39"/>
          <w:lang w:eastAsia="it-IT"/>
        </w:rPr>
      </w:pPr>
      <w:r w:rsidRPr="008B3F4B">
        <w:rPr>
          <w:rFonts w:asciiTheme="minorHAnsi" w:eastAsia="Times New Roman" w:hAnsiTheme="minorHAnsi" w:cstheme="minorHAnsi"/>
          <w:color w:val="3D3B39"/>
          <w:lang w:eastAsia="it-IT"/>
        </w:rPr>
        <w:t>Sul piano del diritto transitorio, l’art. 1, comma 5, del D.L. n.32/19 stabilisce che “</w:t>
      </w:r>
      <w:r w:rsidRPr="008B3F4B">
        <w:rPr>
          <w:rFonts w:asciiTheme="minorHAnsi" w:eastAsia="Times New Roman" w:hAnsiTheme="minorHAnsi" w:cstheme="minorHAnsi"/>
          <w:i/>
          <w:iCs/>
          <w:color w:val="3D3B39"/>
          <w:lang w:eastAsia="it-IT"/>
        </w:rPr>
        <w:t>Le disposizioni di cui al comma 4 si applicano ai processi iniziati dopo la data di entrata in vigore del presente decreto</w:t>
      </w:r>
      <w:r w:rsidRPr="008B3F4B">
        <w:rPr>
          <w:rFonts w:asciiTheme="minorHAnsi" w:eastAsia="Times New Roman" w:hAnsiTheme="minorHAnsi" w:cstheme="minorHAnsi"/>
          <w:color w:val="3D3B39"/>
          <w:lang w:eastAsia="it-IT"/>
        </w:rPr>
        <w:t>”, avendo il legislatore assunto quale riferimento temporale non già la pubblicazione del bando di gara o la spedizione dell’invito, ovverosia, secondo i consueti criteri adottati allo scopo nella materia, il momento dell’avvio della procedura di affidamento, bensì l’inizio del processo.</w:t>
      </w:r>
    </w:p>
    <w:p w:rsidR="008B3F4B" w:rsidRPr="008B3F4B" w:rsidRDefault="008B3F4B" w:rsidP="008B3F4B">
      <w:pPr>
        <w:spacing w:after="265"/>
        <w:rPr>
          <w:rFonts w:asciiTheme="minorHAnsi" w:eastAsia="Times New Roman" w:hAnsiTheme="minorHAnsi" w:cstheme="minorHAnsi"/>
          <w:color w:val="3D3B39"/>
          <w:lang w:eastAsia="it-IT"/>
        </w:rPr>
      </w:pPr>
      <w:r w:rsidRPr="008B3F4B">
        <w:rPr>
          <w:rFonts w:asciiTheme="minorHAnsi" w:eastAsia="Times New Roman" w:hAnsiTheme="minorHAnsi" w:cstheme="minorHAnsi"/>
          <w:color w:val="3D3B39"/>
          <w:lang w:eastAsia="it-IT"/>
        </w:rPr>
        <w:t>Ritiene il Collegio che, in virtù di un canone interpretativo ispirato a fondamentali esigenze di effettività della tutela giurisdizionale ma anche di ordine logico-sistematico, per processi “</w:t>
      </w:r>
      <w:r w:rsidRPr="008B3F4B">
        <w:rPr>
          <w:rFonts w:asciiTheme="minorHAnsi" w:eastAsia="Times New Roman" w:hAnsiTheme="minorHAnsi" w:cstheme="minorHAnsi"/>
          <w:i/>
          <w:iCs/>
          <w:color w:val="3D3B39"/>
          <w:lang w:eastAsia="it-IT"/>
        </w:rPr>
        <w:t>iniziati dopo la data di entrata in vigore del presente decreto</w:t>
      </w:r>
      <w:r w:rsidRPr="008B3F4B">
        <w:rPr>
          <w:rFonts w:asciiTheme="minorHAnsi" w:eastAsia="Times New Roman" w:hAnsiTheme="minorHAnsi" w:cstheme="minorHAnsi"/>
          <w:color w:val="3D3B39"/>
          <w:lang w:eastAsia="it-IT"/>
        </w:rPr>
        <w:t>” debbano intendersi, nell’ottica di chi agisce in giudizio ovvero di chi lo ha “iniziato”, quelli in cui il ricorso introduttivo venga notificato (e non depositato) dopo il 19 aprile 2019 in quanto:</w:t>
      </w:r>
    </w:p>
    <w:p w:rsidR="008B3F4B" w:rsidRPr="008B3F4B" w:rsidRDefault="008B3F4B" w:rsidP="008B3F4B">
      <w:pPr>
        <w:spacing w:after="265"/>
        <w:rPr>
          <w:rFonts w:asciiTheme="minorHAnsi" w:eastAsia="Times New Roman" w:hAnsiTheme="minorHAnsi" w:cstheme="minorHAnsi"/>
          <w:color w:val="3D3B39"/>
          <w:lang w:eastAsia="it-IT"/>
        </w:rPr>
      </w:pPr>
      <w:r w:rsidRPr="008B3F4B">
        <w:rPr>
          <w:rFonts w:asciiTheme="minorHAnsi" w:eastAsia="Times New Roman" w:hAnsiTheme="minorHAnsi" w:cstheme="minorHAnsi"/>
          <w:color w:val="3D3B39"/>
          <w:lang w:eastAsia="it-IT"/>
        </w:rPr>
        <w:t>a) a prescindere dal momento in cui nel processo amministrativo si determina la litispendenza (notificazione del ricorso o il suo deposito), rilevano, ai limitati fini della norma transitoria e nell’ambito della disciplina speciale del rito appalti, gli effetti sostanziali e processuali scaturenti dalla notifica del ricorso introduttivo quali:</w:t>
      </w:r>
    </w:p>
    <w:p w:rsidR="008B3F4B" w:rsidRPr="008B3F4B" w:rsidRDefault="008B3F4B" w:rsidP="008B3F4B">
      <w:pPr>
        <w:spacing w:after="265"/>
        <w:rPr>
          <w:rFonts w:asciiTheme="minorHAnsi" w:eastAsia="Times New Roman" w:hAnsiTheme="minorHAnsi" w:cstheme="minorHAnsi"/>
          <w:color w:val="3D3B39"/>
          <w:lang w:eastAsia="it-IT"/>
        </w:rPr>
      </w:pPr>
      <w:r w:rsidRPr="008B3F4B">
        <w:rPr>
          <w:rFonts w:asciiTheme="minorHAnsi" w:eastAsia="Times New Roman" w:hAnsiTheme="minorHAnsi" w:cstheme="minorHAnsi"/>
          <w:color w:val="3D3B39"/>
          <w:lang w:eastAsia="it-IT"/>
        </w:rPr>
        <w:t>-la definitività della scelta del rito, la cui disciplina è, al momento della notifica del ricorso, nota al ricorrente che non può poi trovarsi incolpevolmente esposto a irrimediabili conseguenze pregiudizievoli sull’immediatezza dell’accesso alla tutela giurisdizionale (</w:t>
      </w:r>
      <w:r w:rsidRPr="008B3F4B">
        <w:rPr>
          <w:rFonts w:asciiTheme="minorHAnsi" w:eastAsia="Times New Roman" w:hAnsiTheme="minorHAnsi" w:cstheme="minorHAnsi"/>
          <w:i/>
          <w:iCs/>
          <w:color w:val="3D3B39"/>
          <w:lang w:eastAsia="it-IT"/>
        </w:rPr>
        <w:t>id est</w:t>
      </w:r>
      <w:r w:rsidRPr="008B3F4B">
        <w:rPr>
          <w:rFonts w:asciiTheme="minorHAnsi" w:eastAsia="Times New Roman" w:hAnsiTheme="minorHAnsi" w:cstheme="minorHAnsi"/>
          <w:color w:val="3D3B39"/>
          <w:lang w:eastAsia="it-IT"/>
        </w:rPr>
        <w:t xml:space="preserve">, inammissibilità del ricorso, nel caso, ad esempio, di impugnazione dell’altrui ammissione) solo per effetto dell’entrata in vigore (in forza di un decreto legge non ancora convertito) di nuove disposizioni processuali intervenute tra la notifica e il deposito dell’atto introduttivo e modificative del regime legittimamente osservato - in conformità al tradizionale canone del </w:t>
      </w:r>
      <w:proofErr w:type="spellStart"/>
      <w:r w:rsidRPr="008B3F4B">
        <w:rPr>
          <w:rFonts w:asciiTheme="minorHAnsi" w:eastAsia="Times New Roman" w:hAnsiTheme="minorHAnsi" w:cstheme="minorHAnsi"/>
          <w:i/>
          <w:iCs/>
          <w:color w:val="3D3B39"/>
          <w:lang w:eastAsia="it-IT"/>
        </w:rPr>
        <w:t>tempus</w:t>
      </w:r>
      <w:proofErr w:type="spellEnd"/>
      <w:r w:rsidRPr="008B3F4B">
        <w:rPr>
          <w:rFonts w:asciiTheme="minorHAnsi" w:eastAsia="Times New Roman" w:hAnsiTheme="minorHAnsi" w:cstheme="minorHAnsi"/>
          <w:i/>
          <w:iCs/>
          <w:color w:val="3D3B39"/>
          <w:lang w:eastAsia="it-IT"/>
        </w:rPr>
        <w:t xml:space="preserve"> </w:t>
      </w:r>
      <w:proofErr w:type="spellStart"/>
      <w:r w:rsidRPr="008B3F4B">
        <w:rPr>
          <w:rFonts w:asciiTheme="minorHAnsi" w:eastAsia="Times New Roman" w:hAnsiTheme="minorHAnsi" w:cstheme="minorHAnsi"/>
          <w:i/>
          <w:iCs/>
          <w:color w:val="3D3B39"/>
          <w:lang w:eastAsia="it-IT"/>
        </w:rPr>
        <w:t>regit</w:t>
      </w:r>
      <w:proofErr w:type="spellEnd"/>
      <w:r w:rsidRPr="008B3F4B">
        <w:rPr>
          <w:rFonts w:asciiTheme="minorHAnsi" w:eastAsia="Times New Roman" w:hAnsiTheme="minorHAnsi" w:cstheme="minorHAnsi"/>
          <w:i/>
          <w:iCs/>
          <w:color w:val="3D3B39"/>
          <w:lang w:eastAsia="it-IT"/>
        </w:rPr>
        <w:t xml:space="preserve"> </w:t>
      </w:r>
      <w:proofErr w:type="spellStart"/>
      <w:r w:rsidRPr="008B3F4B">
        <w:rPr>
          <w:rFonts w:asciiTheme="minorHAnsi" w:eastAsia="Times New Roman" w:hAnsiTheme="minorHAnsi" w:cstheme="minorHAnsi"/>
          <w:i/>
          <w:iCs/>
          <w:color w:val="3D3B39"/>
          <w:lang w:eastAsia="it-IT"/>
        </w:rPr>
        <w:t>actum</w:t>
      </w:r>
      <w:proofErr w:type="spellEnd"/>
      <w:r w:rsidRPr="008B3F4B">
        <w:rPr>
          <w:rFonts w:asciiTheme="minorHAnsi" w:eastAsia="Times New Roman" w:hAnsiTheme="minorHAnsi" w:cstheme="minorHAnsi"/>
          <w:color w:val="3D3B39"/>
          <w:lang w:eastAsia="it-IT"/>
        </w:rPr>
        <w:t xml:space="preserve"> - quando il processo ha avuto “inizio” con la </w:t>
      </w:r>
      <w:proofErr w:type="spellStart"/>
      <w:r w:rsidRPr="008B3F4B">
        <w:rPr>
          <w:rFonts w:asciiTheme="minorHAnsi" w:eastAsia="Times New Roman" w:hAnsiTheme="minorHAnsi" w:cstheme="minorHAnsi"/>
          <w:i/>
          <w:iCs/>
          <w:color w:val="3D3B39"/>
          <w:lang w:eastAsia="it-IT"/>
        </w:rPr>
        <w:t>vocatio</w:t>
      </w:r>
      <w:proofErr w:type="spellEnd"/>
      <w:r w:rsidRPr="008B3F4B">
        <w:rPr>
          <w:rFonts w:asciiTheme="minorHAnsi" w:eastAsia="Times New Roman" w:hAnsiTheme="minorHAnsi" w:cstheme="minorHAnsi"/>
          <w:i/>
          <w:iCs/>
          <w:color w:val="3D3B39"/>
          <w:lang w:eastAsia="it-IT"/>
        </w:rPr>
        <w:t xml:space="preserve"> in </w:t>
      </w:r>
      <w:proofErr w:type="spellStart"/>
      <w:r w:rsidRPr="008B3F4B">
        <w:rPr>
          <w:rFonts w:asciiTheme="minorHAnsi" w:eastAsia="Times New Roman" w:hAnsiTheme="minorHAnsi" w:cstheme="minorHAnsi"/>
          <w:i/>
          <w:iCs/>
          <w:color w:val="3D3B39"/>
          <w:lang w:eastAsia="it-IT"/>
        </w:rPr>
        <w:t>ius</w:t>
      </w:r>
      <w:proofErr w:type="spellEnd"/>
      <w:r w:rsidRPr="008B3F4B">
        <w:rPr>
          <w:rFonts w:asciiTheme="minorHAnsi" w:eastAsia="Times New Roman" w:hAnsiTheme="minorHAnsi" w:cstheme="minorHAnsi"/>
          <w:color w:val="3D3B39"/>
          <w:lang w:eastAsia="it-IT"/>
        </w:rPr>
        <w:t xml:space="preserve"> della parte intimata. In questo senso, si deve ammettere che la notifica del ricorso, in quanto atto iniziale </w:t>
      </w:r>
      <w:r w:rsidRPr="008B3F4B">
        <w:rPr>
          <w:rFonts w:asciiTheme="minorHAnsi" w:eastAsia="Times New Roman" w:hAnsiTheme="minorHAnsi" w:cstheme="minorHAnsi"/>
          <w:color w:val="3D3B39"/>
          <w:lang w:eastAsia="it-IT"/>
        </w:rPr>
        <w:lastRenderedPageBreak/>
        <w:t xml:space="preserve">perfezionatosi in epoca antecedente alla novella e regolato dalla norma in vigore al tempo del suo compimento, possa </w:t>
      </w:r>
      <w:proofErr w:type="spellStart"/>
      <w:r w:rsidRPr="008B3F4B">
        <w:rPr>
          <w:rFonts w:asciiTheme="minorHAnsi" w:eastAsia="Times New Roman" w:hAnsiTheme="minorHAnsi" w:cstheme="minorHAnsi"/>
          <w:color w:val="3D3B39"/>
          <w:lang w:eastAsia="it-IT"/>
        </w:rPr>
        <w:t>ultrattivamente</w:t>
      </w:r>
      <w:proofErr w:type="spellEnd"/>
      <w:r w:rsidRPr="008B3F4B">
        <w:rPr>
          <w:rFonts w:asciiTheme="minorHAnsi" w:eastAsia="Times New Roman" w:hAnsiTheme="minorHAnsi" w:cstheme="minorHAnsi"/>
          <w:color w:val="3D3B39"/>
          <w:lang w:eastAsia="it-IT"/>
        </w:rPr>
        <w:t xml:space="preserve"> propagare i suoi effetti oltre il termine della sua efficacia, condizionando il successivo sviluppo del processo.</w:t>
      </w:r>
    </w:p>
    <w:p w:rsidR="008B3F4B" w:rsidRPr="008B3F4B" w:rsidRDefault="008B3F4B" w:rsidP="008B3F4B">
      <w:pPr>
        <w:spacing w:after="265"/>
        <w:rPr>
          <w:rFonts w:asciiTheme="minorHAnsi" w:eastAsia="Times New Roman" w:hAnsiTheme="minorHAnsi" w:cstheme="minorHAnsi"/>
          <w:color w:val="3D3B39"/>
          <w:lang w:eastAsia="it-IT"/>
        </w:rPr>
      </w:pPr>
      <w:r w:rsidRPr="008B3F4B">
        <w:rPr>
          <w:rFonts w:asciiTheme="minorHAnsi" w:eastAsia="Times New Roman" w:hAnsiTheme="minorHAnsi" w:cstheme="minorHAnsi"/>
          <w:color w:val="3D3B39"/>
          <w:lang w:eastAsia="it-IT"/>
        </w:rPr>
        <w:t>Diversamente intendendo la disposizione transitoria, e cioè associando all’atto della notifica effetti processuali ed extraprocessuali che esso non aveva in base alla legge del tempo in cui è stato posto in essere, si finirebbe per giustificare un'applicazione retroattiva della nuova normativa processuale a partire dalla data di notifica del ricorso che la lettera stessa della legge transitoria (“…</w:t>
      </w:r>
      <w:r w:rsidRPr="008B3F4B">
        <w:rPr>
          <w:rFonts w:asciiTheme="minorHAnsi" w:eastAsia="Times New Roman" w:hAnsiTheme="minorHAnsi" w:cstheme="minorHAnsi"/>
          <w:i/>
          <w:iCs/>
          <w:color w:val="3D3B39"/>
          <w:lang w:eastAsia="it-IT"/>
        </w:rPr>
        <w:t>processi iniziati dopo la data di entrata in vigore del presente decreto</w:t>
      </w:r>
      <w:r w:rsidRPr="008B3F4B">
        <w:rPr>
          <w:rFonts w:asciiTheme="minorHAnsi" w:eastAsia="Times New Roman" w:hAnsiTheme="minorHAnsi" w:cstheme="minorHAnsi"/>
          <w:color w:val="3D3B39"/>
          <w:lang w:eastAsia="it-IT"/>
        </w:rPr>
        <w:t>”) sembra così ragionevolmente escludere;</w:t>
      </w:r>
    </w:p>
    <w:p w:rsidR="008B3F4B" w:rsidRPr="008B3F4B" w:rsidRDefault="008B3F4B" w:rsidP="008B3F4B">
      <w:pPr>
        <w:spacing w:after="265"/>
        <w:rPr>
          <w:rFonts w:asciiTheme="minorHAnsi" w:eastAsia="Times New Roman" w:hAnsiTheme="minorHAnsi" w:cstheme="minorHAnsi"/>
          <w:color w:val="3D3B39"/>
          <w:lang w:eastAsia="it-IT"/>
        </w:rPr>
      </w:pPr>
      <w:r w:rsidRPr="008B3F4B">
        <w:rPr>
          <w:rFonts w:asciiTheme="minorHAnsi" w:eastAsia="Times New Roman" w:hAnsiTheme="minorHAnsi" w:cstheme="minorHAnsi"/>
          <w:color w:val="3D3B39"/>
          <w:lang w:eastAsia="it-IT"/>
        </w:rPr>
        <w:t xml:space="preserve">-la fissazione </w:t>
      </w:r>
      <w:proofErr w:type="spellStart"/>
      <w:r w:rsidRPr="008B3F4B">
        <w:rPr>
          <w:rFonts w:asciiTheme="minorHAnsi" w:eastAsia="Times New Roman" w:hAnsiTheme="minorHAnsi" w:cstheme="minorHAnsi"/>
          <w:i/>
          <w:iCs/>
          <w:color w:val="3D3B39"/>
          <w:lang w:eastAsia="it-IT"/>
        </w:rPr>
        <w:t>ope</w:t>
      </w:r>
      <w:proofErr w:type="spellEnd"/>
      <w:r w:rsidRPr="008B3F4B">
        <w:rPr>
          <w:rFonts w:asciiTheme="minorHAnsi" w:eastAsia="Times New Roman" w:hAnsiTheme="minorHAnsi" w:cstheme="minorHAnsi"/>
          <w:i/>
          <w:iCs/>
          <w:color w:val="3D3B39"/>
          <w:lang w:eastAsia="it-IT"/>
        </w:rPr>
        <w:t xml:space="preserve"> </w:t>
      </w:r>
      <w:proofErr w:type="spellStart"/>
      <w:r w:rsidRPr="008B3F4B">
        <w:rPr>
          <w:rFonts w:asciiTheme="minorHAnsi" w:eastAsia="Times New Roman" w:hAnsiTheme="minorHAnsi" w:cstheme="minorHAnsi"/>
          <w:i/>
          <w:iCs/>
          <w:color w:val="3D3B39"/>
          <w:lang w:eastAsia="it-IT"/>
        </w:rPr>
        <w:t>legis</w:t>
      </w:r>
      <w:r w:rsidRPr="008B3F4B">
        <w:rPr>
          <w:rFonts w:asciiTheme="minorHAnsi" w:eastAsia="Times New Roman" w:hAnsiTheme="minorHAnsi" w:cstheme="minorHAnsi"/>
          <w:color w:val="3D3B39"/>
          <w:lang w:eastAsia="it-IT"/>
        </w:rPr>
        <w:t>dell’udienza</w:t>
      </w:r>
      <w:proofErr w:type="spellEnd"/>
      <w:r w:rsidRPr="008B3F4B">
        <w:rPr>
          <w:rFonts w:asciiTheme="minorHAnsi" w:eastAsia="Times New Roman" w:hAnsiTheme="minorHAnsi" w:cstheme="minorHAnsi"/>
          <w:color w:val="3D3B39"/>
          <w:lang w:eastAsia="it-IT"/>
        </w:rPr>
        <w:t xml:space="preserve"> in camera di consiglio per l’eventuale trattazione della domanda cautelare nei termini dimezzati ex art. 119 </w:t>
      </w:r>
      <w:proofErr w:type="spellStart"/>
      <w:r w:rsidRPr="008B3F4B">
        <w:rPr>
          <w:rFonts w:asciiTheme="minorHAnsi" w:eastAsia="Times New Roman" w:hAnsiTheme="minorHAnsi" w:cstheme="minorHAnsi"/>
          <w:color w:val="3D3B39"/>
          <w:lang w:eastAsia="it-IT"/>
        </w:rPr>
        <w:t>c.p.a</w:t>
      </w:r>
      <w:proofErr w:type="spellEnd"/>
      <w:r w:rsidRPr="008B3F4B">
        <w:rPr>
          <w:rFonts w:asciiTheme="minorHAnsi" w:eastAsia="Times New Roman" w:hAnsiTheme="minorHAnsi" w:cstheme="minorHAnsi"/>
          <w:color w:val="3D3B39"/>
          <w:lang w:eastAsia="it-IT"/>
        </w:rPr>
        <w:t xml:space="preserve">. decorrenti dalla data della notifica del ricorso (art.55, comma 5, </w:t>
      </w:r>
      <w:proofErr w:type="spellStart"/>
      <w:r w:rsidRPr="008B3F4B">
        <w:rPr>
          <w:rFonts w:asciiTheme="minorHAnsi" w:eastAsia="Times New Roman" w:hAnsiTheme="minorHAnsi" w:cstheme="minorHAnsi"/>
          <w:color w:val="3D3B39"/>
          <w:lang w:eastAsia="it-IT"/>
        </w:rPr>
        <w:t>c.p.a</w:t>
      </w:r>
      <w:proofErr w:type="spellEnd"/>
      <w:r w:rsidRPr="008B3F4B">
        <w:rPr>
          <w:rFonts w:asciiTheme="minorHAnsi" w:eastAsia="Times New Roman" w:hAnsiTheme="minorHAnsi" w:cstheme="minorHAnsi"/>
          <w:color w:val="3D3B39"/>
          <w:lang w:eastAsia="it-IT"/>
        </w:rPr>
        <w:t>.);</w:t>
      </w:r>
    </w:p>
    <w:p w:rsidR="008B3F4B" w:rsidRPr="008B3F4B" w:rsidRDefault="008B3F4B" w:rsidP="008B3F4B">
      <w:pPr>
        <w:spacing w:after="265"/>
        <w:rPr>
          <w:rFonts w:asciiTheme="minorHAnsi" w:eastAsia="Times New Roman" w:hAnsiTheme="minorHAnsi" w:cstheme="minorHAnsi"/>
          <w:color w:val="3D3B39"/>
          <w:lang w:eastAsia="it-IT"/>
        </w:rPr>
      </w:pPr>
      <w:r w:rsidRPr="008B3F4B">
        <w:rPr>
          <w:rFonts w:asciiTheme="minorHAnsi" w:eastAsia="Times New Roman" w:hAnsiTheme="minorHAnsi" w:cstheme="minorHAnsi"/>
          <w:color w:val="3D3B39"/>
          <w:lang w:eastAsia="it-IT"/>
        </w:rPr>
        <w:t>b) a corredo delle argomentazioni che precedono, non si può trascurare che, da un punto di vista generale, in materia di appalti pubblici il momento della notifica del ricorso introduttivo, più che quello del suo deposito, risponde espressamente ad irrinunciabili esigenze di certezza sostanziale e speditezza procedimentale.</w:t>
      </w:r>
    </w:p>
    <w:p w:rsidR="008B3F4B" w:rsidRPr="008B3F4B" w:rsidRDefault="008B3F4B" w:rsidP="008B3F4B">
      <w:pPr>
        <w:spacing w:after="265"/>
        <w:rPr>
          <w:rFonts w:asciiTheme="minorHAnsi" w:eastAsia="Times New Roman" w:hAnsiTheme="minorHAnsi" w:cstheme="minorHAnsi"/>
          <w:color w:val="3D3B39"/>
          <w:lang w:eastAsia="it-IT"/>
        </w:rPr>
      </w:pPr>
      <w:r w:rsidRPr="008B3F4B">
        <w:rPr>
          <w:rFonts w:asciiTheme="minorHAnsi" w:eastAsia="Times New Roman" w:hAnsiTheme="minorHAnsi" w:cstheme="minorHAnsi"/>
          <w:color w:val="3D3B39"/>
          <w:lang w:eastAsia="it-IT"/>
        </w:rPr>
        <w:t xml:space="preserve">Si pensi, ad esempio, alla regola dello stand </w:t>
      </w:r>
      <w:proofErr w:type="spellStart"/>
      <w:r w:rsidRPr="008B3F4B">
        <w:rPr>
          <w:rFonts w:asciiTheme="minorHAnsi" w:eastAsia="Times New Roman" w:hAnsiTheme="minorHAnsi" w:cstheme="minorHAnsi"/>
          <w:color w:val="3D3B39"/>
          <w:lang w:eastAsia="it-IT"/>
        </w:rPr>
        <w:t>still</w:t>
      </w:r>
      <w:proofErr w:type="spellEnd"/>
      <w:r w:rsidRPr="008B3F4B">
        <w:rPr>
          <w:rFonts w:asciiTheme="minorHAnsi" w:eastAsia="Times New Roman" w:hAnsiTheme="minorHAnsi" w:cstheme="minorHAnsi"/>
          <w:color w:val="3D3B39"/>
          <w:lang w:eastAsia="it-IT"/>
        </w:rPr>
        <w:t xml:space="preserve"> “processuale”: ai sensi dell’art.32, comma 11, del </w:t>
      </w:r>
      <w:proofErr w:type="spellStart"/>
      <w:r w:rsidRPr="008B3F4B">
        <w:rPr>
          <w:rFonts w:asciiTheme="minorHAnsi" w:eastAsia="Times New Roman" w:hAnsiTheme="minorHAnsi" w:cstheme="minorHAnsi"/>
          <w:color w:val="3D3B39"/>
          <w:lang w:eastAsia="it-IT"/>
        </w:rPr>
        <w:t>D.Lgs.</w:t>
      </w:r>
      <w:proofErr w:type="spellEnd"/>
      <w:r w:rsidRPr="008B3F4B">
        <w:rPr>
          <w:rFonts w:asciiTheme="minorHAnsi" w:eastAsia="Times New Roman" w:hAnsiTheme="minorHAnsi" w:cstheme="minorHAnsi"/>
          <w:color w:val="3D3B39"/>
          <w:lang w:eastAsia="it-IT"/>
        </w:rPr>
        <w:t xml:space="preserve"> n.50/16 è dal momento della notifica del ricorso che scatta il divieto per la stazione appaltante di stipulare il contratto di appalto in pendenza di un ricorso giurisdizionale proposto avverso l’aggiudicazione definitiva (“</w:t>
      </w:r>
      <w:r w:rsidRPr="008B3F4B">
        <w:rPr>
          <w:rFonts w:asciiTheme="minorHAnsi" w:eastAsia="Times New Roman" w:hAnsiTheme="minorHAnsi" w:cstheme="minorHAnsi"/>
          <w:i/>
          <w:iCs/>
          <w:color w:val="3D3B39"/>
          <w:lang w:eastAsia="it-IT"/>
        </w:rPr>
        <w:t>Se è proposto ricorso avverso l'aggiudicazione con contestuale domanda cautelare, il contratto non può essere stipulato, dal momento della notificazione dell'istanza cautelare alla stazione appaltante e per i successivi venti giorni</w:t>
      </w:r>
      <w:r w:rsidRPr="008B3F4B">
        <w:rPr>
          <w:rFonts w:asciiTheme="minorHAnsi" w:eastAsia="Times New Roman" w:hAnsiTheme="minorHAnsi" w:cstheme="minorHAnsi"/>
          <w:color w:val="3D3B39"/>
          <w:lang w:eastAsia="it-IT"/>
        </w:rPr>
        <w:t>”) con inevitabili ripercussioni sulle posizioni sostanziali delle parti in conflitto.</w:t>
      </w:r>
    </w:p>
    <w:p w:rsidR="008B3F4B" w:rsidRPr="008B3F4B" w:rsidRDefault="008B3F4B" w:rsidP="008B3F4B">
      <w:pPr>
        <w:spacing w:after="265"/>
        <w:rPr>
          <w:rFonts w:asciiTheme="minorHAnsi" w:eastAsia="Times New Roman" w:hAnsiTheme="minorHAnsi" w:cstheme="minorHAnsi"/>
          <w:color w:val="3D3B39"/>
          <w:lang w:eastAsia="it-IT"/>
        </w:rPr>
      </w:pPr>
      <w:r w:rsidRPr="008B3F4B">
        <w:rPr>
          <w:rFonts w:asciiTheme="minorHAnsi" w:eastAsia="Times New Roman" w:hAnsiTheme="minorHAnsi" w:cstheme="minorHAnsi"/>
          <w:color w:val="3D3B39"/>
          <w:lang w:eastAsia="it-IT"/>
        </w:rPr>
        <w:t xml:space="preserve">Al caso di specie trova, quindi, ancora applicazione il rito “super speciale” previsto dall’art. 120, comma 2 bis, </w:t>
      </w:r>
      <w:proofErr w:type="spellStart"/>
      <w:r w:rsidRPr="008B3F4B">
        <w:rPr>
          <w:rFonts w:asciiTheme="minorHAnsi" w:eastAsia="Times New Roman" w:hAnsiTheme="minorHAnsi" w:cstheme="minorHAnsi"/>
          <w:color w:val="3D3B39"/>
          <w:lang w:eastAsia="it-IT"/>
        </w:rPr>
        <w:t>c.p.a</w:t>
      </w:r>
      <w:proofErr w:type="spellEnd"/>
      <w:r w:rsidRPr="008B3F4B">
        <w:rPr>
          <w:rFonts w:asciiTheme="minorHAnsi" w:eastAsia="Times New Roman" w:hAnsiTheme="minorHAnsi" w:cstheme="minorHAnsi"/>
          <w:color w:val="3D3B39"/>
          <w:lang w:eastAsia="it-IT"/>
        </w:rPr>
        <w:t>., essendo il presente giudizio iniziato prima dell’entrata in vigore del D.L. n. 32/2019.</w:t>
      </w:r>
    </w:p>
    <w:p w:rsidR="008B3F4B" w:rsidRPr="008B3F4B" w:rsidRDefault="008B3F4B" w:rsidP="008B3F4B">
      <w:pPr>
        <w:spacing w:after="265"/>
        <w:rPr>
          <w:rFonts w:asciiTheme="minorHAnsi" w:eastAsia="Times New Roman" w:hAnsiTheme="minorHAnsi" w:cstheme="minorHAnsi"/>
          <w:color w:val="3D3B39"/>
          <w:lang w:eastAsia="it-IT"/>
        </w:rPr>
      </w:pPr>
      <w:r w:rsidRPr="008B3F4B">
        <w:rPr>
          <w:rFonts w:asciiTheme="minorHAnsi" w:eastAsia="Times New Roman" w:hAnsiTheme="minorHAnsi" w:cstheme="minorHAnsi"/>
          <w:color w:val="3D3B39"/>
          <w:lang w:eastAsia="it-IT"/>
        </w:rPr>
        <w:t>10.Venendo al merito della controversia, il ricorso è infondato e non merita di essere accolto.</w:t>
      </w:r>
    </w:p>
    <w:p w:rsidR="008B3F4B" w:rsidRPr="008B3F4B" w:rsidRDefault="008B3F4B" w:rsidP="008B3F4B">
      <w:pPr>
        <w:spacing w:after="265"/>
        <w:rPr>
          <w:rFonts w:asciiTheme="minorHAnsi" w:eastAsia="Times New Roman" w:hAnsiTheme="minorHAnsi" w:cstheme="minorHAnsi"/>
          <w:color w:val="3D3B39"/>
          <w:lang w:eastAsia="it-IT"/>
        </w:rPr>
      </w:pPr>
      <w:r w:rsidRPr="008B3F4B">
        <w:rPr>
          <w:rFonts w:asciiTheme="minorHAnsi" w:eastAsia="Times New Roman" w:hAnsiTheme="minorHAnsi" w:cstheme="minorHAnsi"/>
          <w:color w:val="3D3B39"/>
          <w:lang w:eastAsia="it-IT"/>
        </w:rPr>
        <w:t xml:space="preserve">I reati che la stazione appaltante chiedeva ai concorrenti di dichiarare ai fini della partecipazione (e con espressa comminatoria di esclusione) con la previsione di cui al punto 15.11. cpv.3 del bando di gara erano evidentemente ulteriori e diversi rispetto ai reati richiamati dal precedente punto 15.5 (il quale riprende, nella sostanza, l’elenco dei reati richiamati dal comma dell’articolo 80 del codice dei contratti) e ciò per consentire alla stazione appaltante di apprezzarne la gravità ai fini </w:t>
      </w:r>
      <w:proofErr w:type="spellStart"/>
      <w:r w:rsidRPr="008B3F4B">
        <w:rPr>
          <w:rFonts w:asciiTheme="minorHAnsi" w:eastAsia="Times New Roman" w:hAnsiTheme="minorHAnsi" w:cstheme="minorHAnsi"/>
          <w:color w:val="3D3B39"/>
          <w:lang w:eastAsia="it-IT"/>
        </w:rPr>
        <w:t>ammissivi</w:t>
      </w:r>
      <w:proofErr w:type="spellEnd"/>
      <w:r w:rsidRPr="008B3F4B">
        <w:rPr>
          <w:rFonts w:asciiTheme="minorHAnsi" w:eastAsia="Times New Roman" w:hAnsiTheme="minorHAnsi" w:cstheme="minorHAnsi"/>
          <w:color w:val="3D3B39"/>
          <w:lang w:eastAsia="it-IT"/>
        </w:rPr>
        <w:t xml:space="preserve"> con la conseguenza che l’operatore economico che avesse presentato “nella procedura di gara in corso e negli affidamenti di subappalti documentazione o dichiarazioni non veritiere” sarebbe stato automaticamente escluso (punto 15.5 </w:t>
      </w:r>
      <w:proofErr w:type="spellStart"/>
      <w:r w:rsidRPr="008B3F4B">
        <w:rPr>
          <w:rFonts w:asciiTheme="minorHAnsi" w:eastAsia="Times New Roman" w:hAnsiTheme="minorHAnsi" w:cstheme="minorHAnsi"/>
          <w:color w:val="3D3B39"/>
          <w:lang w:eastAsia="it-IT"/>
        </w:rPr>
        <w:t>lett</w:t>
      </w:r>
      <w:proofErr w:type="spellEnd"/>
      <w:r w:rsidRPr="008B3F4B">
        <w:rPr>
          <w:rFonts w:asciiTheme="minorHAnsi" w:eastAsia="Times New Roman" w:hAnsiTheme="minorHAnsi" w:cstheme="minorHAnsi"/>
          <w:color w:val="3D3B39"/>
          <w:lang w:eastAsia="it-IT"/>
        </w:rPr>
        <w:t>. f-bis).</w:t>
      </w:r>
    </w:p>
    <w:p w:rsidR="008B3F4B" w:rsidRPr="008B3F4B" w:rsidRDefault="008B3F4B" w:rsidP="008B3F4B">
      <w:pPr>
        <w:spacing w:after="265"/>
        <w:rPr>
          <w:rFonts w:asciiTheme="minorHAnsi" w:eastAsia="Times New Roman" w:hAnsiTheme="minorHAnsi" w:cstheme="minorHAnsi"/>
          <w:color w:val="3D3B39"/>
          <w:lang w:eastAsia="it-IT"/>
        </w:rPr>
      </w:pPr>
      <w:r w:rsidRPr="008B3F4B">
        <w:rPr>
          <w:rFonts w:asciiTheme="minorHAnsi" w:eastAsia="Times New Roman" w:hAnsiTheme="minorHAnsi" w:cstheme="minorHAnsi"/>
          <w:color w:val="3D3B39"/>
          <w:lang w:eastAsia="it-IT"/>
        </w:rPr>
        <w:t>Allo stesso modo, l’art.16.2.2. del bando di gara al punto b.7.1 prevedeva l’obbligo di dichiarare in sede di offerta, a pena di esclusione, “tutte le condanne riportate, ivi comprese le sentenze di patteggiamento ed i decreti penali di condanna divenute irrevocabili incluse quelle per la quali sia stato concesso il beneficio della non menzione ovvero sia intervenuta l’estinzione del reato ma la suddetta estinzione non sia stata dichiarata con provvedimento dell’Autorità Giudiziaria”.</w:t>
      </w:r>
    </w:p>
    <w:p w:rsidR="008B3F4B" w:rsidRPr="008B3F4B" w:rsidRDefault="008B3F4B" w:rsidP="008B3F4B">
      <w:pPr>
        <w:spacing w:after="265"/>
        <w:rPr>
          <w:rFonts w:asciiTheme="minorHAnsi" w:eastAsia="Times New Roman" w:hAnsiTheme="minorHAnsi" w:cstheme="minorHAnsi"/>
          <w:color w:val="3D3B39"/>
          <w:lang w:eastAsia="it-IT"/>
        </w:rPr>
      </w:pPr>
      <w:r w:rsidRPr="008B3F4B">
        <w:rPr>
          <w:rFonts w:asciiTheme="minorHAnsi" w:eastAsia="Times New Roman" w:hAnsiTheme="minorHAnsi" w:cstheme="minorHAnsi"/>
          <w:color w:val="3D3B39"/>
          <w:lang w:eastAsia="it-IT"/>
        </w:rPr>
        <w:t xml:space="preserve">Già dalla lettura comparativa delle diverse disposizioni del bando di gara –peraltro non impugnate dal raggruppamento ricorrente- emerge con chiarezza che la </w:t>
      </w:r>
      <w:proofErr w:type="spellStart"/>
      <w:r w:rsidRPr="008B3F4B">
        <w:rPr>
          <w:rFonts w:asciiTheme="minorHAnsi" w:eastAsia="Times New Roman" w:hAnsiTheme="minorHAnsi" w:cstheme="minorHAnsi"/>
          <w:i/>
          <w:iCs/>
          <w:color w:val="3D3B39"/>
          <w:lang w:eastAsia="it-IT"/>
        </w:rPr>
        <w:t>lex</w:t>
      </w:r>
      <w:proofErr w:type="spellEnd"/>
      <w:r w:rsidRPr="008B3F4B">
        <w:rPr>
          <w:rFonts w:asciiTheme="minorHAnsi" w:eastAsia="Times New Roman" w:hAnsiTheme="minorHAnsi" w:cstheme="minorHAnsi"/>
          <w:i/>
          <w:iCs/>
          <w:color w:val="3D3B39"/>
          <w:lang w:eastAsia="it-IT"/>
        </w:rPr>
        <w:t xml:space="preserve"> </w:t>
      </w:r>
      <w:proofErr w:type="spellStart"/>
      <w:r w:rsidRPr="008B3F4B">
        <w:rPr>
          <w:rFonts w:asciiTheme="minorHAnsi" w:eastAsia="Times New Roman" w:hAnsiTheme="minorHAnsi" w:cstheme="minorHAnsi"/>
          <w:i/>
          <w:iCs/>
          <w:color w:val="3D3B39"/>
          <w:lang w:eastAsia="it-IT"/>
        </w:rPr>
        <w:t>specialis</w:t>
      </w:r>
      <w:proofErr w:type="spellEnd"/>
      <w:r w:rsidRPr="008B3F4B">
        <w:rPr>
          <w:rFonts w:asciiTheme="minorHAnsi" w:eastAsia="Times New Roman" w:hAnsiTheme="minorHAnsi" w:cstheme="minorHAnsi"/>
          <w:i/>
          <w:iCs/>
          <w:color w:val="3D3B39"/>
          <w:lang w:eastAsia="it-IT"/>
        </w:rPr>
        <w:t xml:space="preserve"> </w:t>
      </w:r>
      <w:r w:rsidRPr="008B3F4B">
        <w:rPr>
          <w:rFonts w:asciiTheme="minorHAnsi" w:eastAsia="Times New Roman" w:hAnsiTheme="minorHAnsi" w:cstheme="minorHAnsi"/>
          <w:color w:val="3D3B39"/>
          <w:lang w:eastAsia="it-IT"/>
        </w:rPr>
        <w:t xml:space="preserve">non si è limitata a richiedere ai concorrenti l’indicazione dei soli reati ostativi espressamente richiamati dal richiamato art.80 comma 1 del </w:t>
      </w:r>
      <w:proofErr w:type="spellStart"/>
      <w:r w:rsidRPr="008B3F4B">
        <w:rPr>
          <w:rFonts w:asciiTheme="minorHAnsi" w:eastAsia="Times New Roman" w:hAnsiTheme="minorHAnsi" w:cstheme="minorHAnsi"/>
          <w:color w:val="3D3B39"/>
          <w:lang w:eastAsia="it-IT"/>
        </w:rPr>
        <w:t>D.Lgs</w:t>
      </w:r>
      <w:proofErr w:type="spellEnd"/>
      <w:r w:rsidRPr="008B3F4B">
        <w:rPr>
          <w:rFonts w:asciiTheme="minorHAnsi" w:eastAsia="Times New Roman" w:hAnsiTheme="minorHAnsi" w:cstheme="minorHAnsi"/>
          <w:color w:val="3D3B39"/>
          <w:lang w:eastAsia="it-IT"/>
        </w:rPr>
        <w:t xml:space="preserve"> n.50/16 (il che, oltretutto, avrebbe palesato la sostanziale inutilità dello stesso punto 16.2.2 citato del bando), ma ha richiesto agli stessi anche l’indicazione di qualunque altro reato. La clausola è del tutto ragionevole perché permette alla stazione appaltante di verificare se i concorrenti sino o meno professionalmente affidabili e quindi meritevoli di partecipare alla gara, onde tutelare apprezzabili interessi </w:t>
      </w:r>
      <w:r w:rsidRPr="008B3F4B">
        <w:rPr>
          <w:rFonts w:asciiTheme="minorHAnsi" w:eastAsia="Times New Roman" w:hAnsiTheme="minorHAnsi" w:cstheme="minorHAnsi"/>
          <w:color w:val="3D3B39"/>
          <w:lang w:eastAsia="it-IT"/>
        </w:rPr>
        <w:lastRenderedPageBreak/>
        <w:t>pubblici immanenti nelle procedure selettive, quali la celerità e la speditezza procedimentale (cfr.TAR Reggio Calabria n.666/18).</w:t>
      </w:r>
    </w:p>
    <w:p w:rsidR="008B3F4B" w:rsidRPr="008B3F4B" w:rsidRDefault="008B3F4B" w:rsidP="008B3F4B">
      <w:pPr>
        <w:spacing w:after="265"/>
        <w:rPr>
          <w:rFonts w:asciiTheme="minorHAnsi" w:eastAsia="Times New Roman" w:hAnsiTheme="minorHAnsi" w:cstheme="minorHAnsi"/>
          <w:color w:val="3D3B39"/>
          <w:lang w:eastAsia="it-IT"/>
        </w:rPr>
      </w:pPr>
      <w:r w:rsidRPr="008B3F4B">
        <w:rPr>
          <w:rFonts w:asciiTheme="minorHAnsi" w:eastAsia="Times New Roman" w:hAnsiTheme="minorHAnsi" w:cstheme="minorHAnsi"/>
          <w:color w:val="3D3B39"/>
          <w:lang w:eastAsia="it-IT"/>
        </w:rPr>
        <w:t xml:space="preserve">Alla luce dell’indirizzo recentemente espresso dalla giurisprudenza amministrativa, sia sotto la vigenza del nuovo art. 80 del D. </w:t>
      </w:r>
      <w:proofErr w:type="spellStart"/>
      <w:r w:rsidRPr="008B3F4B">
        <w:rPr>
          <w:rFonts w:asciiTheme="minorHAnsi" w:eastAsia="Times New Roman" w:hAnsiTheme="minorHAnsi" w:cstheme="minorHAnsi"/>
          <w:color w:val="3D3B39"/>
          <w:lang w:eastAsia="it-IT"/>
        </w:rPr>
        <w:t>Lgs</w:t>
      </w:r>
      <w:proofErr w:type="spellEnd"/>
      <w:r w:rsidRPr="008B3F4B">
        <w:rPr>
          <w:rFonts w:asciiTheme="minorHAnsi" w:eastAsia="Times New Roman" w:hAnsiTheme="minorHAnsi" w:cstheme="minorHAnsi"/>
          <w:color w:val="3D3B39"/>
          <w:lang w:eastAsia="it-IT"/>
        </w:rPr>
        <w:t xml:space="preserve">. n. 50/2016 che del previgente art. 38 del D. </w:t>
      </w:r>
      <w:proofErr w:type="spellStart"/>
      <w:r w:rsidRPr="008B3F4B">
        <w:rPr>
          <w:rFonts w:asciiTheme="minorHAnsi" w:eastAsia="Times New Roman" w:hAnsiTheme="minorHAnsi" w:cstheme="minorHAnsi"/>
          <w:color w:val="3D3B39"/>
          <w:lang w:eastAsia="it-IT"/>
        </w:rPr>
        <w:t>Lgs</w:t>
      </w:r>
      <w:proofErr w:type="spellEnd"/>
      <w:r w:rsidRPr="008B3F4B">
        <w:rPr>
          <w:rFonts w:asciiTheme="minorHAnsi" w:eastAsia="Times New Roman" w:hAnsiTheme="minorHAnsi" w:cstheme="minorHAnsi"/>
          <w:color w:val="3D3B39"/>
          <w:lang w:eastAsia="it-IT"/>
        </w:rPr>
        <w:t>. n. 163/2006 in ordine alla legittimità dell’esclusione disposta in conseguenza dell’omessa dichiarazione di tutte le precedenti sentenze di condanna riportate dagli amministratori delle ditte partecipanti alle gare d’appalto, “</w:t>
      </w:r>
      <w:r w:rsidRPr="008B3F4B">
        <w:rPr>
          <w:rFonts w:asciiTheme="minorHAnsi" w:eastAsia="Times New Roman" w:hAnsiTheme="minorHAnsi" w:cstheme="minorHAnsi"/>
          <w:i/>
          <w:iCs/>
          <w:color w:val="3D3B39"/>
          <w:lang w:eastAsia="it-IT"/>
        </w:rPr>
        <w:t xml:space="preserve">nelle procedure ad evidenza pubblica preordinate all’affidamento di un appalto, l’omessa dichiarazione da parte del concorrente di tutte le condanne penali eventualmente riportate (sempreché per le stesse non sia già intervenuta una formale riabilitazione), anche se attinenti a reati diversi da quelli contemplati nell’art. 38, comma 1, </w:t>
      </w:r>
      <w:proofErr w:type="spellStart"/>
      <w:r w:rsidRPr="008B3F4B">
        <w:rPr>
          <w:rFonts w:asciiTheme="minorHAnsi" w:eastAsia="Times New Roman" w:hAnsiTheme="minorHAnsi" w:cstheme="minorHAnsi"/>
          <w:i/>
          <w:iCs/>
          <w:color w:val="3D3B39"/>
          <w:lang w:eastAsia="it-IT"/>
        </w:rPr>
        <w:t>lett</w:t>
      </w:r>
      <w:proofErr w:type="spellEnd"/>
      <w:r w:rsidRPr="008B3F4B">
        <w:rPr>
          <w:rFonts w:asciiTheme="minorHAnsi" w:eastAsia="Times New Roman" w:hAnsiTheme="minorHAnsi" w:cstheme="minorHAnsi"/>
          <w:i/>
          <w:iCs/>
          <w:color w:val="3D3B39"/>
          <w:lang w:eastAsia="it-IT"/>
        </w:rPr>
        <w:t>. c) d.lgs. n.163 del 2006, può giustificare senz’altro l’esclusione dalla gara, traducendosi in un impedimento per la stazione appaltante di valutarne la gravità</w:t>
      </w:r>
      <w:r w:rsidRPr="008B3F4B">
        <w:rPr>
          <w:rFonts w:asciiTheme="minorHAnsi" w:eastAsia="Times New Roman" w:hAnsiTheme="minorHAnsi" w:cstheme="minorHAnsi"/>
          <w:color w:val="3D3B39"/>
          <w:lang w:eastAsia="it-IT"/>
        </w:rPr>
        <w:t xml:space="preserve">” (cfr. </w:t>
      </w:r>
      <w:r w:rsidRPr="008B3F4B">
        <w:rPr>
          <w:rFonts w:asciiTheme="minorHAnsi" w:eastAsia="Times New Roman" w:hAnsiTheme="minorHAnsi" w:cstheme="minorHAnsi"/>
          <w:i/>
          <w:iCs/>
          <w:color w:val="3D3B39"/>
          <w:lang w:eastAsia="it-IT"/>
        </w:rPr>
        <w:t xml:space="preserve">ex </w:t>
      </w:r>
      <w:proofErr w:type="spellStart"/>
      <w:r w:rsidRPr="008B3F4B">
        <w:rPr>
          <w:rFonts w:asciiTheme="minorHAnsi" w:eastAsia="Times New Roman" w:hAnsiTheme="minorHAnsi" w:cstheme="minorHAnsi"/>
          <w:i/>
          <w:iCs/>
          <w:color w:val="3D3B39"/>
          <w:lang w:eastAsia="it-IT"/>
        </w:rPr>
        <w:t>multis</w:t>
      </w:r>
      <w:r w:rsidRPr="008B3F4B">
        <w:rPr>
          <w:rFonts w:asciiTheme="minorHAnsi" w:eastAsia="Times New Roman" w:hAnsiTheme="minorHAnsi" w:cstheme="minorHAnsi"/>
          <w:color w:val="3D3B39"/>
          <w:lang w:eastAsia="it-IT"/>
        </w:rPr>
        <w:t>Cons</w:t>
      </w:r>
      <w:proofErr w:type="spellEnd"/>
      <w:r w:rsidRPr="008B3F4B">
        <w:rPr>
          <w:rFonts w:asciiTheme="minorHAnsi" w:eastAsia="Times New Roman" w:hAnsiTheme="minorHAnsi" w:cstheme="minorHAnsi"/>
          <w:color w:val="3D3B39"/>
          <w:lang w:eastAsia="it-IT"/>
        </w:rPr>
        <w:t xml:space="preserve">. St., sez. V, 12.3.19 n.1649; sez. III, n. 4192/2017; TAR Napoli, Sez. I, n. 1076/2018) e ciò anche in caso di dichiarazione reticente e non necessariamente falsa (cfr. </w:t>
      </w:r>
      <w:proofErr w:type="spellStart"/>
      <w:r w:rsidRPr="008B3F4B">
        <w:rPr>
          <w:rFonts w:asciiTheme="minorHAnsi" w:eastAsia="Times New Roman" w:hAnsiTheme="minorHAnsi" w:cstheme="minorHAnsi"/>
          <w:color w:val="3D3B39"/>
          <w:lang w:eastAsia="it-IT"/>
        </w:rPr>
        <w:t>Cons</w:t>
      </w:r>
      <w:proofErr w:type="spellEnd"/>
      <w:r w:rsidRPr="008B3F4B">
        <w:rPr>
          <w:rFonts w:asciiTheme="minorHAnsi" w:eastAsia="Times New Roman" w:hAnsiTheme="minorHAnsi" w:cstheme="minorHAnsi"/>
          <w:color w:val="3D3B39"/>
          <w:lang w:eastAsia="it-IT"/>
        </w:rPr>
        <w:t>. St., sez. V, 27.7.16 n. 3402; sez. V, 29.4.16 n. 1641).</w:t>
      </w:r>
    </w:p>
    <w:p w:rsidR="008B3F4B" w:rsidRPr="008B3F4B" w:rsidRDefault="008B3F4B" w:rsidP="008B3F4B">
      <w:pPr>
        <w:spacing w:after="265"/>
        <w:rPr>
          <w:rFonts w:asciiTheme="minorHAnsi" w:eastAsia="Times New Roman" w:hAnsiTheme="minorHAnsi" w:cstheme="minorHAnsi"/>
          <w:color w:val="3D3B39"/>
          <w:lang w:eastAsia="it-IT"/>
        </w:rPr>
      </w:pPr>
      <w:r w:rsidRPr="008B3F4B">
        <w:rPr>
          <w:rFonts w:asciiTheme="minorHAnsi" w:eastAsia="Times New Roman" w:hAnsiTheme="minorHAnsi" w:cstheme="minorHAnsi"/>
          <w:color w:val="3D3B39"/>
          <w:lang w:eastAsia="it-IT"/>
        </w:rPr>
        <w:t>Nel caso in esame, la stazione appaltante ha puntualmente connesso valenza escludente alle richiamate violazioni e l’orientamento sopra richiamato si regge sul condivisibile presupposto per cui non può consentirsi che l'individuazione e la selezione delle condotte idonee ad incidere sulla moralità professionale sia rimessa alla valutazione dello stesso concorrente/dichiarante, in tal modo impedendo alla stazione appaltante di valutare la concreta incidenza della singola condanna sulla complessiva moralità professionale del concorrente.</w:t>
      </w:r>
    </w:p>
    <w:p w:rsidR="008B3F4B" w:rsidRPr="008B3F4B" w:rsidRDefault="008B3F4B" w:rsidP="008B3F4B">
      <w:pPr>
        <w:spacing w:after="265"/>
        <w:rPr>
          <w:rFonts w:asciiTheme="minorHAnsi" w:eastAsia="Times New Roman" w:hAnsiTheme="minorHAnsi" w:cstheme="minorHAnsi"/>
          <w:color w:val="3D3B39"/>
          <w:lang w:eastAsia="it-IT"/>
        </w:rPr>
      </w:pPr>
      <w:r w:rsidRPr="008B3F4B">
        <w:rPr>
          <w:rFonts w:asciiTheme="minorHAnsi" w:eastAsia="Times New Roman" w:hAnsiTheme="minorHAnsi" w:cstheme="minorHAnsi"/>
          <w:color w:val="3D3B39"/>
          <w:lang w:eastAsia="it-IT"/>
        </w:rPr>
        <w:t xml:space="preserve">Il Collegio ritiene, in definitiva, che del tutto correttamente la stazione appaltante abbia fatto derivare ex art. 80 comma 5 </w:t>
      </w:r>
      <w:proofErr w:type="spellStart"/>
      <w:r w:rsidRPr="008B3F4B">
        <w:rPr>
          <w:rFonts w:asciiTheme="minorHAnsi" w:eastAsia="Times New Roman" w:hAnsiTheme="minorHAnsi" w:cstheme="minorHAnsi"/>
          <w:color w:val="3D3B39"/>
          <w:lang w:eastAsia="it-IT"/>
        </w:rPr>
        <w:t>lett</w:t>
      </w:r>
      <w:proofErr w:type="spellEnd"/>
      <w:r w:rsidRPr="008B3F4B">
        <w:rPr>
          <w:rFonts w:asciiTheme="minorHAnsi" w:eastAsia="Times New Roman" w:hAnsiTheme="minorHAnsi" w:cstheme="minorHAnsi"/>
          <w:color w:val="3D3B39"/>
          <w:lang w:eastAsia="it-IT"/>
        </w:rPr>
        <w:t xml:space="preserve">. f bis) del </w:t>
      </w:r>
      <w:proofErr w:type="spellStart"/>
      <w:r w:rsidRPr="008B3F4B">
        <w:rPr>
          <w:rFonts w:asciiTheme="minorHAnsi" w:eastAsia="Times New Roman" w:hAnsiTheme="minorHAnsi" w:cstheme="minorHAnsi"/>
          <w:color w:val="3D3B39"/>
          <w:lang w:eastAsia="it-IT"/>
        </w:rPr>
        <w:t>D.Lgs.</w:t>
      </w:r>
      <w:proofErr w:type="spellEnd"/>
      <w:r w:rsidRPr="008B3F4B">
        <w:rPr>
          <w:rFonts w:asciiTheme="minorHAnsi" w:eastAsia="Times New Roman" w:hAnsiTheme="minorHAnsi" w:cstheme="minorHAnsi"/>
          <w:color w:val="3D3B39"/>
          <w:lang w:eastAsia="it-IT"/>
        </w:rPr>
        <w:t xml:space="preserve"> n.50/16, quale atto vincolato, la sanzione escludente dalla richiamata violazione della </w:t>
      </w:r>
      <w:proofErr w:type="spellStart"/>
      <w:r w:rsidRPr="008B3F4B">
        <w:rPr>
          <w:rFonts w:asciiTheme="minorHAnsi" w:eastAsia="Times New Roman" w:hAnsiTheme="minorHAnsi" w:cstheme="minorHAnsi"/>
          <w:i/>
          <w:iCs/>
          <w:color w:val="3D3B39"/>
          <w:lang w:eastAsia="it-IT"/>
        </w:rPr>
        <w:t>lex</w:t>
      </w:r>
      <w:proofErr w:type="spellEnd"/>
      <w:r w:rsidRPr="008B3F4B">
        <w:rPr>
          <w:rFonts w:asciiTheme="minorHAnsi" w:eastAsia="Times New Roman" w:hAnsiTheme="minorHAnsi" w:cstheme="minorHAnsi"/>
          <w:i/>
          <w:iCs/>
          <w:color w:val="3D3B39"/>
          <w:lang w:eastAsia="it-IT"/>
        </w:rPr>
        <w:t xml:space="preserve"> </w:t>
      </w:r>
      <w:proofErr w:type="spellStart"/>
      <w:r w:rsidRPr="008B3F4B">
        <w:rPr>
          <w:rFonts w:asciiTheme="minorHAnsi" w:eastAsia="Times New Roman" w:hAnsiTheme="minorHAnsi" w:cstheme="minorHAnsi"/>
          <w:i/>
          <w:iCs/>
          <w:color w:val="3D3B39"/>
          <w:lang w:eastAsia="it-IT"/>
        </w:rPr>
        <w:t>specialis</w:t>
      </w:r>
      <w:r w:rsidRPr="008B3F4B">
        <w:rPr>
          <w:rFonts w:asciiTheme="minorHAnsi" w:eastAsia="Times New Roman" w:hAnsiTheme="minorHAnsi" w:cstheme="minorHAnsi"/>
          <w:color w:val="3D3B39"/>
          <w:lang w:eastAsia="it-IT"/>
        </w:rPr>
        <w:t>perchè</w:t>
      </w:r>
      <w:proofErr w:type="spellEnd"/>
      <w:r w:rsidRPr="008B3F4B">
        <w:rPr>
          <w:rFonts w:asciiTheme="minorHAnsi" w:eastAsia="Times New Roman" w:hAnsiTheme="minorHAnsi" w:cstheme="minorHAnsi"/>
          <w:color w:val="3D3B39"/>
          <w:lang w:eastAsia="it-IT"/>
        </w:rPr>
        <w:t xml:space="preserve"> la lettura delle richiamate clausole del bando rendeva evidente, oltre ogni ragionevole dubbio, che le dichiarazioni richieste ai concorrenti concernessero tutti gli ambiti di rilievo penale, fossero o meno quelli ricompresi dall’art.80 comma 1 dello stesso codice dei contratti.</w:t>
      </w:r>
    </w:p>
    <w:p w:rsidR="008B3F4B" w:rsidRPr="008B3F4B" w:rsidRDefault="008B3F4B" w:rsidP="008B3F4B">
      <w:pPr>
        <w:spacing w:after="265"/>
        <w:rPr>
          <w:rFonts w:asciiTheme="minorHAnsi" w:eastAsia="Times New Roman" w:hAnsiTheme="minorHAnsi" w:cstheme="minorHAnsi"/>
          <w:color w:val="3D3B39"/>
          <w:lang w:eastAsia="it-IT"/>
        </w:rPr>
      </w:pPr>
      <w:r w:rsidRPr="008B3F4B">
        <w:rPr>
          <w:rFonts w:asciiTheme="minorHAnsi" w:eastAsia="Times New Roman" w:hAnsiTheme="minorHAnsi" w:cstheme="minorHAnsi"/>
          <w:color w:val="3D3B39"/>
          <w:lang w:eastAsia="it-IT"/>
        </w:rPr>
        <w:t>11.Le motivazioni del rigetto del primo motivo di ricorso esonerano il Collegio dall’esaminare espressamente gli argomenti di doglianza sviluppati nella seconda censura che vengono ritenuti non rilevanti ai fini della decisione e quindi assorbiti, non valendo a supportare una conclusione di tipo diverso.</w:t>
      </w:r>
    </w:p>
    <w:p w:rsidR="008B3F4B" w:rsidRPr="008B3F4B" w:rsidRDefault="008B3F4B" w:rsidP="008B3F4B">
      <w:pPr>
        <w:spacing w:after="265"/>
        <w:rPr>
          <w:rFonts w:asciiTheme="minorHAnsi" w:eastAsia="Times New Roman" w:hAnsiTheme="minorHAnsi" w:cstheme="minorHAnsi"/>
          <w:color w:val="3D3B39"/>
          <w:lang w:eastAsia="it-IT"/>
        </w:rPr>
      </w:pPr>
      <w:r w:rsidRPr="008B3F4B">
        <w:rPr>
          <w:rFonts w:asciiTheme="minorHAnsi" w:eastAsia="Times New Roman" w:hAnsiTheme="minorHAnsi" w:cstheme="minorHAnsi"/>
          <w:color w:val="3D3B39"/>
          <w:lang w:eastAsia="it-IT"/>
        </w:rPr>
        <w:t>12.Il ricorso, in definitiva, è infondato e va, pertanto, respinto.</w:t>
      </w:r>
    </w:p>
    <w:p w:rsidR="008B3F4B" w:rsidRPr="008B3F4B" w:rsidRDefault="008B3F4B" w:rsidP="008B3F4B">
      <w:pPr>
        <w:spacing w:after="265"/>
        <w:rPr>
          <w:rFonts w:asciiTheme="minorHAnsi" w:eastAsia="Times New Roman" w:hAnsiTheme="minorHAnsi" w:cstheme="minorHAnsi"/>
          <w:color w:val="3D3B39"/>
          <w:lang w:eastAsia="it-IT"/>
        </w:rPr>
      </w:pPr>
      <w:r w:rsidRPr="008B3F4B">
        <w:rPr>
          <w:rFonts w:asciiTheme="minorHAnsi" w:eastAsia="Times New Roman" w:hAnsiTheme="minorHAnsi" w:cstheme="minorHAnsi"/>
          <w:color w:val="3D3B39"/>
          <w:lang w:eastAsia="it-IT"/>
        </w:rPr>
        <w:t>13.Le spese seguono la soccombenza e vengono liquidate come da dispositivo.</w:t>
      </w:r>
    </w:p>
    <w:p w:rsidR="008B3F4B" w:rsidRPr="008B3F4B" w:rsidRDefault="008B3F4B" w:rsidP="008B3F4B">
      <w:pPr>
        <w:spacing w:after="265"/>
        <w:jc w:val="center"/>
        <w:rPr>
          <w:rFonts w:asciiTheme="minorHAnsi" w:eastAsia="Times New Roman" w:hAnsiTheme="minorHAnsi" w:cstheme="minorHAnsi"/>
          <w:color w:val="3D3B39"/>
          <w:lang w:eastAsia="it-IT"/>
        </w:rPr>
      </w:pPr>
      <w:r w:rsidRPr="008B3F4B">
        <w:rPr>
          <w:rFonts w:asciiTheme="minorHAnsi" w:eastAsia="Times New Roman" w:hAnsiTheme="minorHAnsi" w:cstheme="minorHAnsi"/>
          <w:b/>
          <w:bCs/>
          <w:color w:val="3D3B39"/>
          <w:lang w:eastAsia="it-IT"/>
        </w:rPr>
        <w:t>P.Q.M.</w:t>
      </w:r>
    </w:p>
    <w:p w:rsidR="008B3F4B" w:rsidRPr="008B3F4B" w:rsidRDefault="008B3F4B" w:rsidP="008B3F4B">
      <w:pPr>
        <w:spacing w:after="265"/>
        <w:rPr>
          <w:rFonts w:asciiTheme="minorHAnsi" w:eastAsia="Times New Roman" w:hAnsiTheme="minorHAnsi" w:cstheme="minorHAnsi"/>
          <w:color w:val="3D3B39"/>
          <w:lang w:eastAsia="it-IT"/>
        </w:rPr>
      </w:pPr>
      <w:r w:rsidRPr="008B3F4B">
        <w:rPr>
          <w:rFonts w:asciiTheme="minorHAnsi" w:eastAsia="Times New Roman" w:hAnsiTheme="minorHAnsi" w:cstheme="minorHAnsi"/>
          <w:color w:val="3D3B39"/>
          <w:lang w:eastAsia="it-IT"/>
        </w:rPr>
        <w:t>Il Tribunale Amministrativo Regionale per la Calabria, Sezione Staccata di Reggio Calabria, definitivamente pronunciando sul ricorso in epigrafe, lo respinge.</w:t>
      </w:r>
    </w:p>
    <w:p w:rsidR="008B3F4B" w:rsidRPr="008B3F4B" w:rsidRDefault="008B3F4B" w:rsidP="008B3F4B">
      <w:pPr>
        <w:spacing w:after="265"/>
        <w:rPr>
          <w:rFonts w:asciiTheme="minorHAnsi" w:eastAsia="Times New Roman" w:hAnsiTheme="minorHAnsi" w:cstheme="minorHAnsi"/>
          <w:color w:val="3D3B39"/>
          <w:lang w:eastAsia="it-IT"/>
        </w:rPr>
      </w:pPr>
      <w:r w:rsidRPr="008B3F4B">
        <w:rPr>
          <w:rFonts w:asciiTheme="minorHAnsi" w:eastAsia="Times New Roman" w:hAnsiTheme="minorHAnsi" w:cstheme="minorHAnsi"/>
          <w:color w:val="3D3B39"/>
          <w:lang w:eastAsia="it-IT"/>
        </w:rPr>
        <w:t>Condanna -OMISSIS- e -OMISSIS-, in solido tra loro, al pagamento, in favore della Città Metropolitana di Reggio Calabria, delle spese processuali che liquida complessivamente in € 3.000,00 (tremila/00), oltre accessori di legge.</w:t>
      </w:r>
    </w:p>
    <w:p w:rsidR="008B3F4B" w:rsidRPr="008B3F4B" w:rsidRDefault="008B3F4B" w:rsidP="008B3F4B">
      <w:pPr>
        <w:spacing w:after="265"/>
        <w:rPr>
          <w:rFonts w:asciiTheme="minorHAnsi" w:eastAsia="Times New Roman" w:hAnsiTheme="minorHAnsi" w:cstheme="minorHAnsi"/>
          <w:color w:val="3D3B39"/>
          <w:lang w:eastAsia="it-IT"/>
        </w:rPr>
      </w:pPr>
      <w:r w:rsidRPr="008B3F4B">
        <w:rPr>
          <w:rFonts w:asciiTheme="minorHAnsi" w:eastAsia="Times New Roman" w:hAnsiTheme="minorHAnsi" w:cstheme="minorHAnsi"/>
          <w:color w:val="3D3B39"/>
          <w:lang w:eastAsia="it-IT"/>
        </w:rPr>
        <w:t>Ordina che la presente sentenza sia eseguita dall'autorità amministrativa.</w:t>
      </w:r>
    </w:p>
    <w:p w:rsidR="008B3F4B" w:rsidRPr="008B3F4B" w:rsidRDefault="008B3F4B" w:rsidP="008B3F4B">
      <w:pPr>
        <w:spacing w:after="265"/>
        <w:rPr>
          <w:rFonts w:asciiTheme="minorHAnsi" w:eastAsia="Times New Roman" w:hAnsiTheme="minorHAnsi" w:cstheme="minorHAnsi"/>
          <w:color w:val="3D3B39"/>
          <w:lang w:eastAsia="it-IT"/>
        </w:rPr>
      </w:pPr>
      <w:r w:rsidRPr="008B3F4B">
        <w:rPr>
          <w:rFonts w:asciiTheme="minorHAnsi" w:eastAsia="Times New Roman" w:hAnsiTheme="minorHAnsi" w:cstheme="minorHAnsi"/>
          <w:color w:val="3D3B39"/>
          <w:lang w:eastAsia="it-IT"/>
        </w:rPr>
        <w:t xml:space="preserve">Ritenuto che sussistano i presupposti di cui all'art. 52, comma 1 D. </w:t>
      </w:r>
      <w:proofErr w:type="spellStart"/>
      <w:r w:rsidRPr="008B3F4B">
        <w:rPr>
          <w:rFonts w:asciiTheme="minorHAnsi" w:eastAsia="Times New Roman" w:hAnsiTheme="minorHAnsi" w:cstheme="minorHAnsi"/>
          <w:color w:val="3D3B39"/>
          <w:lang w:eastAsia="it-IT"/>
        </w:rPr>
        <w:t>Lgs</w:t>
      </w:r>
      <w:proofErr w:type="spellEnd"/>
      <w:r w:rsidRPr="008B3F4B">
        <w:rPr>
          <w:rFonts w:asciiTheme="minorHAnsi" w:eastAsia="Times New Roman" w:hAnsiTheme="minorHAnsi" w:cstheme="minorHAnsi"/>
          <w:color w:val="3D3B39"/>
          <w:lang w:eastAsia="it-IT"/>
        </w:rPr>
        <w:t>. 30 giugno 2003 n. 196, a tutela dei diritti o della dignità della parte interessata, manda alla Segreteria di procedere all'oscuramento delle generalità nonché di qualsiasi altro dato idoneo ad identificare -OMISSIS- e -OMISSIS-.</w:t>
      </w:r>
    </w:p>
    <w:p w:rsidR="008B3F4B" w:rsidRPr="008B3F4B" w:rsidRDefault="008B3F4B" w:rsidP="008B3F4B">
      <w:pPr>
        <w:spacing w:after="265"/>
        <w:rPr>
          <w:rFonts w:asciiTheme="minorHAnsi" w:eastAsia="Times New Roman" w:hAnsiTheme="minorHAnsi" w:cstheme="minorHAnsi"/>
          <w:color w:val="3D3B39"/>
          <w:lang w:eastAsia="it-IT"/>
        </w:rPr>
      </w:pPr>
      <w:r w:rsidRPr="008B3F4B">
        <w:rPr>
          <w:rFonts w:asciiTheme="minorHAnsi" w:eastAsia="Times New Roman" w:hAnsiTheme="minorHAnsi" w:cstheme="minorHAnsi"/>
          <w:color w:val="3D3B39"/>
          <w:lang w:eastAsia="it-IT"/>
        </w:rPr>
        <w:t>Così deciso in Reggio Calabria nella camera di consiglio del giorno 8 maggio 2019 con l'intervento dei magistrati:</w:t>
      </w:r>
    </w:p>
    <w:p w:rsidR="008B3F4B" w:rsidRPr="008B3F4B" w:rsidRDefault="008B3F4B" w:rsidP="008B3F4B">
      <w:pPr>
        <w:spacing w:after="265"/>
        <w:rPr>
          <w:rFonts w:asciiTheme="minorHAnsi" w:eastAsia="Times New Roman" w:hAnsiTheme="minorHAnsi" w:cstheme="minorHAnsi"/>
          <w:color w:val="3D3B39"/>
          <w:lang w:eastAsia="it-IT"/>
        </w:rPr>
      </w:pPr>
      <w:r w:rsidRPr="008B3F4B">
        <w:rPr>
          <w:rFonts w:asciiTheme="minorHAnsi" w:eastAsia="Times New Roman" w:hAnsiTheme="minorHAnsi" w:cstheme="minorHAnsi"/>
          <w:color w:val="3D3B39"/>
          <w:lang w:eastAsia="it-IT"/>
        </w:rPr>
        <w:lastRenderedPageBreak/>
        <w:t xml:space="preserve">Caterina </w:t>
      </w:r>
      <w:proofErr w:type="spellStart"/>
      <w:r w:rsidRPr="008B3F4B">
        <w:rPr>
          <w:rFonts w:asciiTheme="minorHAnsi" w:eastAsia="Times New Roman" w:hAnsiTheme="minorHAnsi" w:cstheme="minorHAnsi"/>
          <w:color w:val="3D3B39"/>
          <w:lang w:eastAsia="it-IT"/>
        </w:rPr>
        <w:t>Criscenti</w:t>
      </w:r>
      <w:proofErr w:type="spellEnd"/>
      <w:r w:rsidRPr="008B3F4B">
        <w:rPr>
          <w:rFonts w:asciiTheme="minorHAnsi" w:eastAsia="Times New Roman" w:hAnsiTheme="minorHAnsi" w:cstheme="minorHAnsi"/>
          <w:color w:val="3D3B39"/>
          <w:lang w:eastAsia="it-IT"/>
        </w:rPr>
        <w:t>, Presidente</w:t>
      </w:r>
    </w:p>
    <w:p w:rsidR="008B3F4B" w:rsidRPr="008B3F4B" w:rsidRDefault="008B3F4B" w:rsidP="008B3F4B">
      <w:pPr>
        <w:spacing w:after="265"/>
        <w:rPr>
          <w:rFonts w:asciiTheme="minorHAnsi" w:eastAsia="Times New Roman" w:hAnsiTheme="minorHAnsi" w:cstheme="minorHAnsi"/>
          <w:color w:val="3D3B39"/>
          <w:lang w:eastAsia="it-IT"/>
        </w:rPr>
      </w:pPr>
      <w:r w:rsidRPr="008B3F4B">
        <w:rPr>
          <w:rFonts w:asciiTheme="minorHAnsi" w:eastAsia="Times New Roman" w:hAnsiTheme="minorHAnsi" w:cstheme="minorHAnsi"/>
          <w:color w:val="3D3B39"/>
          <w:lang w:eastAsia="it-IT"/>
        </w:rPr>
        <w:t>Andrea De Col, Referendario, Estensore</w:t>
      </w:r>
    </w:p>
    <w:p w:rsidR="008B3F4B" w:rsidRPr="008B3F4B" w:rsidRDefault="008B3F4B" w:rsidP="008B3F4B">
      <w:pPr>
        <w:spacing w:after="265"/>
        <w:rPr>
          <w:rFonts w:asciiTheme="minorHAnsi" w:eastAsia="Times New Roman" w:hAnsiTheme="minorHAnsi" w:cstheme="minorHAnsi"/>
          <w:color w:val="3D3B39"/>
          <w:lang w:eastAsia="it-IT"/>
        </w:rPr>
      </w:pPr>
      <w:r w:rsidRPr="008B3F4B">
        <w:rPr>
          <w:rFonts w:asciiTheme="minorHAnsi" w:eastAsia="Times New Roman" w:hAnsiTheme="minorHAnsi" w:cstheme="minorHAnsi"/>
          <w:color w:val="3D3B39"/>
          <w:lang w:eastAsia="it-IT"/>
        </w:rPr>
        <w:t xml:space="preserve">Antonino </w:t>
      </w:r>
      <w:proofErr w:type="spellStart"/>
      <w:r w:rsidRPr="008B3F4B">
        <w:rPr>
          <w:rFonts w:asciiTheme="minorHAnsi" w:eastAsia="Times New Roman" w:hAnsiTheme="minorHAnsi" w:cstheme="minorHAnsi"/>
          <w:color w:val="3D3B39"/>
          <w:lang w:eastAsia="it-IT"/>
        </w:rPr>
        <w:t>Scianna</w:t>
      </w:r>
      <w:proofErr w:type="spellEnd"/>
      <w:r w:rsidRPr="008B3F4B">
        <w:rPr>
          <w:rFonts w:asciiTheme="minorHAnsi" w:eastAsia="Times New Roman" w:hAnsiTheme="minorHAnsi" w:cstheme="minorHAnsi"/>
          <w:color w:val="3D3B39"/>
          <w:lang w:eastAsia="it-IT"/>
        </w:rPr>
        <w:t>, Referendario</w:t>
      </w:r>
    </w:p>
    <w:p w:rsidR="008B3F4B" w:rsidRPr="00C33C1E" w:rsidRDefault="008B3F4B" w:rsidP="008B3F4B">
      <w:pPr>
        <w:spacing w:after="225"/>
        <w:outlineLvl w:val="2"/>
        <w:rPr>
          <w:rFonts w:asciiTheme="minorHAnsi" w:eastAsia="Times New Roman" w:hAnsiTheme="minorHAnsi" w:cstheme="minorHAnsi"/>
          <w:b/>
          <w:bCs/>
          <w:caps/>
          <w:color w:val="000000"/>
          <w:lang w:eastAsia="it-IT"/>
        </w:rPr>
      </w:pPr>
    </w:p>
    <w:p w:rsidR="008B3F4B" w:rsidRPr="00C33C1E" w:rsidRDefault="008B3F4B" w:rsidP="008B3F4B">
      <w:pPr>
        <w:spacing w:after="225"/>
        <w:outlineLvl w:val="2"/>
        <w:rPr>
          <w:rFonts w:asciiTheme="minorHAnsi" w:eastAsia="Times New Roman" w:hAnsiTheme="minorHAnsi" w:cstheme="minorHAnsi"/>
          <w:b/>
          <w:bCs/>
          <w:caps/>
          <w:color w:val="000000"/>
          <w:lang w:eastAsia="it-IT"/>
        </w:rPr>
      </w:pPr>
    </w:p>
    <w:p w:rsidR="008B3F4B" w:rsidRPr="00C33C1E" w:rsidRDefault="008B3F4B" w:rsidP="008B3F4B">
      <w:pPr>
        <w:spacing w:after="225"/>
        <w:outlineLvl w:val="2"/>
        <w:rPr>
          <w:rFonts w:asciiTheme="minorHAnsi" w:eastAsia="Times New Roman" w:hAnsiTheme="minorHAnsi" w:cstheme="minorHAnsi"/>
          <w:b/>
          <w:bCs/>
          <w:caps/>
          <w:color w:val="000000"/>
          <w:lang w:eastAsia="it-IT"/>
        </w:rPr>
      </w:pPr>
    </w:p>
    <w:p w:rsidR="008B3F4B" w:rsidRPr="00C33C1E" w:rsidRDefault="008B3F4B" w:rsidP="008B3F4B">
      <w:pPr>
        <w:spacing w:after="225"/>
        <w:outlineLvl w:val="2"/>
        <w:rPr>
          <w:rFonts w:asciiTheme="minorHAnsi" w:eastAsia="Times New Roman" w:hAnsiTheme="minorHAnsi" w:cstheme="minorHAnsi"/>
          <w:b/>
          <w:bCs/>
          <w:caps/>
          <w:color w:val="000000"/>
          <w:lang w:eastAsia="it-IT"/>
        </w:rPr>
      </w:pPr>
    </w:p>
    <w:p w:rsidR="008B3F4B" w:rsidRPr="00C33C1E" w:rsidRDefault="008B3F4B" w:rsidP="008B3F4B">
      <w:pPr>
        <w:spacing w:after="225"/>
        <w:outlineLvl w:val="2"/>
        <w:rPr>
          <w:rFonts w:asciiTheme="minorHAnsi" w:eastAsia="Times New Roman" w:hAnsiTheme="minorHAnsi" w:cstheme="minorHAnsi"/>
          <w:b/>
          <w:bCs/>
          <w:caps/>
          <w:color w:val="000000"/>
          <w:lang w:eastAsia="it-IT"/>
        </w:rPr>
      </w:pPr>
    </w:p>
    <w:p w:rsidR="008B3F4B" w:rsidRPr="00C33C1E" w:rsidRDefault="008B3F4B" w:rsidP="008B3F4B">
      <w:pPr>
        <w:spacing w:after="225"/>
        <w:outlineLvl w:val="2"/>
        <w:rPr>
          <w:rFonts w:asciiTheme="minorHAnsi" w:eastAsia="Times New Roman" w:hAnsiTheme="minorHAnsi" w:cstheme="minorHAnsi"/>
          <w:b/>
          <w:bCs/>
          <w:caps/>
          <w:color w:val="000000"/>
          <w:lang w:eastAsia="it-IT"/>
        </w:rPr>
      </w:pPr>
    </w:p>
    <w:p w:rsidR="008B3F4B" w:rsidRPr="00C33C1E" w:rsidRDefault="008B3F4B" w:rsidP="008B3F4B">
      <w:pPr>
        <w:spacing w:after="225"/>
        <w:outlineLvl w:val="2"/>
        <w:rPr>
          <w:rFonts w:asciiTheme="minorHAnsi" w:eastAsia="Times New Roman" w:hAnsiTheme="minorHAnsi" w:cstheme="minorHAnsi"/>
          <w:b/>
          <w:bCs/>
          <w:caps/>
          <w:color w:val="000000"/>
          <w:lang w:eastAsia="it-IT"/>
        </w:rPr>
      </w:pPr>
    </w:p>
    <w:p w:rsidR="00875003" w:rsidRPr="00C33C1E" w:rsidRDefault="00875003" w:rsidP="008B3F4B">
      <w:pPr>
        <w:spacing w:after="265"/>
        <w:rPr>
          <w:rFonts w:asciiTheme="minorHAnsi" w:eastAsia="Times New Roman" w:hAnsiTheme="minorHAnsi" w:cstheme="minorHAnsi"/>
          <w:b/>
          <w:bCs/>
          <w:caps/>
          <w:color w:val="000000"/>
          <w:lang w:eastAsia="it-IT"/>
        </w:rPr>
      </w:pPr>
    </w:p>
    <w:p w:rsidR="00875003" w:rsidRPr="00C33C1E" w:rsidRDefault="00875003" w:rsidP="008B3F4B">
      <w:pPr>
        <w:spacing w:after="265"/>
        <w:rPr>
          <w:rFonts w:asciiTheme="minorHAnsi" w:eastAsia="Times New Roman" w:hAnsiTheme="minorHAnsi" w:cstheme="minorHAnsi"/>
          <w:b/>
          <w:bCs/>
          <w:caps/>
          <w:color w:val="000000"/>
          <w:lang w:eastAsia="it-IT"/>
        </w:rPr>
      </w:pPr>
    </w:p>
    <w:p w:rsidR="00875003" w:rsidRPr="00C33C1E" w:rsidRDefault="00875003" w:rsidP="008B3F4B">
      <w:pPr>
        <w:spacing w:after="265"/>
        <w:rPr>
          <w:rFonts w:asciiTheme="minorHAnsi" w:eastAsia="Times New Roman" w:hAnsiTheme="minorHAnsi" w:cstheme="minorHAnsi"/>
          <w:b/>
          <w:bCs/>
          <w:caps/>
          <w:color w:val="000000"/>
          <w:lang w:eastAsia="it-IT"/>
        </w:rPr>
      </w:pPr>
    </w:p>
    <w:p w:rsidR="00875003" w:rsidRPr="00C33C1E" w:rsidRDefault="00875003" w:rsidP="008B3F4B">
      <w:pPr>
        <w:spacing w:after="265"/>
        <w:rPr>
          <w:rFonts w:asciiTheme="minorHAnsi" w:eastAsia="Times New Roman" w:hAnsiTheme="minorHAnsi" w:cstheme="minorHAnsi"/>
          <w:b/>
          <w:bCs/>
          <w:caps/>
          <w:color w:val="000000"/>
          <w:lang w:eastAsia="it-IT"/>
        </w:rPr>
      </w:pPr>
    </w:p>
    <w:p w:rsidR="00875003" w:rsidRDefault="00875003" w:rsidP="008B3F4B">
      <w:pPr>
        <w:spacing w:after="265"/>
        <w:rPr>
          <w:rFonts w:asciiTheme="minorHAnsi" w:eastAsia="Times New Roman" w:hAnsiTheme="minorHAnsi" w:cstheme="minorHAnsi"/>
          <w:b/>
          <w:bCs/>
          <w:caps/>
          <w:color w:val="000000"/>
          <w:lang w:eastAsia="it-IT"/>
        </w:rPr>
      </w:pPr>
    </w:p>
    <w:p w:rsidR="00FE2E15" w:rsidRDefault="00FE2E15" w:rsidP="008B3F4B">
      <w:pPr>
        <w:spacing w:after="265"/>
        <w:rPr>
          <w:rFonts w:asciiTheme="minorHAnsi" w:eastAsia="Times New Roman" w:hAnsiTheme="minorHAnsi" w:cstheme="minorHAnsi"/>
          <w:b/>
          <w:bCs/>
          <w:caps/>
          <w:color w:val="000000"/>
          <w:lang w:eastAsia="it-IT"/>
        </w:rPr>
      </w:pPr>
    </w:p>
    <w:p w:rsidR="00FE2E15" w:rsidRDefault="00FE2E15" w:rsidP="008B3F4B">
      <w:pPr>
        <w:spacing w:after="265"/>
        <w:rPr>
          <w:rFonts w:asciiTheme="minorHAnsi" w:eastAsia="Times New Roman" w:hAnsiTheme="minorHAnsi" w:cstheme="minorHAnsi"/>
          <w:b/>
          <w:bCs/>
          <w:caps/>
          <w:color w:val="000000"/>
          <w:lang w:eastAsia="it-IT"/>
        </w:rPr>
      </w:pPr>
    </w:p>
    <w:p w:rsidR="00FE2E15" w:rsidRDefault="00FE2E15" w:rsidP="008B3F4B">
      <w:pPr>
        <w:spacing w:after="265"/>
        <w:rPr>
          <w:rFonts w:asciiTheme="minorHAnsi" w:eastAsia="Times New Roman" w:hAnsiTheme="minorHAnsi" w:cstheme="minorHAnsi"/>
          <w:b/>
          <w:bCs/>
          <w:caps/>
          <w:color w:val="000000"/>
          <w:lang w:eastAsia="it-IT"/>
        </w:rPr>
      </w:pPr>
    </w:p>
    <w:p w:rsidR="00FE2E15" w:rsidRDefault="00FE2E15" w:rsidP="008B3F4B">
      <w:pPr>
        <w:spacing w:after="265"/>
        <w:rPr>
          <w:rFonts w:asciiTheme="minorHAnsi" w:eastAsia="Times New Roman" w:hAnsiTheme="minorHAnsi" w:cstheme="minorHAnsi"/>
          <w:b/>
          <w:bCs/>
          <w:caps/>
          <w:color w:val="000000"/>
          <w:lang w:eastAsia="it-IT"/>
        </w:rPr>
      </w:pPr>
    </w:p>
    <w:p w:rsidR="00FE2E15" w:rsidRDefault="00FE2E15" w:rsidP="008B3F4B">
      <w:pPr>
        <w:spacing w:after="265"/>
        <w:rPr>
          <w:rFonts w:asciiTheme="minorHAnsi" w:eastAsia="Times New Roman" w:hAnsiTheme="minorHAnsi" w:cstheme="minorHAnsi"/>
          <w:b/>
          <w:bCs/>
          <w:caps/>
          <w:color w:val="000000"/>
          <w:lang w:eastAsia="it-IT"/>
        </w:rPr>
      </w:pPr>
    </w:p>
    <w:p w:rsidR="00FE2E15" w:rsidRDefault="00FE2E15" w:rsidP="008B3F4B">
      <w:pPr>
        <w:spacing w:after="265"/>
        <w:rPr>
          <w:rFonts w:asciiTheme="minorHAnsi" w:eastAsia="Times New Roman" w:hAnsiTheme="minorHAnsi" w:cstheme="minorHAnsi"/>
          <w:b/>
          <w:bCs/>
          <w:caps/>
          <w:color w:val="000000"/>
          <w:lang w:eastAsia="it-IT"/>
        </w:rPr>
      </w:pPr>
    </w:p>
    <w:p w:rsidR="00FE2E15" w:rsidRDefault="00FE2E15" w:rsidP="008B3F4B">
      <w:pPr>
        <w:spacing w:after="265"/>
        <w:rPr>
          <w:rFonts w:asciiTheme="minorHAnsi" w:eastAsia="Times New Roman" w:hAnsiTheme="minorHAnsi" w:cstheme="minorHAnsi"/>
          <w:b/>
          <w:bCs/>
          <w:caps/>
          <w:color w:val="000000"/>
          <w:lang w:eastAsia="it-IT"/>
        </w:rPr>
      </w:pPr>
    </w:p>
    <w:p w:rsidR="00FE2E15" w:rsidRDefault="00FE2E15" w:rsidP="008B3F4B">
      <w:pPr>
        <w:spacing w:after="265"/>
        <w:rPr>
          <w:rFonts w:asciiTheme="minorHAnsi" w:eastAsia="Times New Roman" w:hAnsiTheme="minorHAnsi" w:cstheme="minorHAnsi"/>
          <w:b/>
          <w:bCs/>
          <w:caps/>
          <w:color w:val="000000"/>
          <w:lang w:eastAsia="it-IT"/>
        </w:rPr>
      </w:pPr>
    </w:p>
    <w:p w:rsidR="00FE2E15" w:rsidRDefault="00FE2E15" w:rsidP="008B3F4B">
      <w:pPr>
        <w:spacing w:after="265"/>
        <w:rPr>
          <w:rFonts w:asciiTheme="minorHAnsi" w:eastAsia="Times New Roman" w:hAnsiTheme="minorHAnsi" w:cstheme="minorHAnsi"/>
          <w:b/>
          <w:bCs/>
          <w:caps/>
          <w:color w:val="000000"/>
          <w:lang w:eastAsia="it-IT"/>
        </w:rPr>
      </w:pPr>
    </w:p>
    <w:p w:rsidR="00FE2E15" w:rsidRDefault="00FE2E15" w:rsidP="008B3F4B">
      <w:pPr>
        <w:spacing w:after="265"/>
        <w:rPr>
          <w:rFonts w:asciiTheme="minorHAnsi" w:eastAsia="Times New Roman" w:hAnsiTheme="minorHAnsi" w:cstheme="minorHAnsi"/>
          <w:b/>
          <w:bCs/>
          <w:caps/>
          <w:color w:val="000000"/>
          <w:lang w:eastAsia="it-IT"/>
        </w:rPr>
      </w:pPr>
    </w:p>
    <w:p w:rsidR="00FE2E15" w:rsidRDefault="00FE2E15" w:rsidP="008B3F4B">
      <w:pPr>
        <w:spacing w:after="265"/>
        <w:rPr>
          <w:rFonts w:asciiTheme="minorHAnsi" w:eastAsia="Times New Roman" w:hAnsiTheme="minorHAnsi" w:cstheme="minorHAnsi"/>
          <w:b/>
          <w:bCs/>
          <w:caps/>
          <w:color w:val="000000"/>
          <w:lang w:eastAsia="it-IT"/>
        </w:rPr>
      </w:pPr>
    </w:p>
    <w:p w:rsidR="00FE2E15" w:rsidRPr="00C33C1E" w:rsidRDefault="00FE2E15" w:rsidP="008B3F4B">
      <w:pPr>
        <w:spacing w:after="265"/>
        <w:rPr>
          <w:rFonts w:asciiTheme="minorHAnsi" w:eastAsia="Times New Roman" w:hAnsiTheme="minorHAnsi" w:cstheme="minorHAnsi"/>
          <w:b/>
          <w:bCs/>
          <w:caps/>
          <w:color w:val="000000"/>
          <w:lang w:eastAsia="it-IT"/>
        </w:rPr>
      </w:pPr>
      <w:bookmarkStart w:id="0" w:name="_GoBack"/>
      <w:bookmarkEnd w:id="0"/>
    </w:p>
    <w:p w:rsidR="008B3F4B" w:rsidRPr="008B3F4B" w:rsidRDefault="008B3F4B" w:rsidP="008B3F4B">
      <w:pPr>
        <w:spacing w:after="265"/>
        <w:rPr>
          <w:rFonts w:asciiTheme="minorHAnsi" w:eastAsia="Times New Roman" w:hAnsiTheme="minorHAnsi" w:cstheme="minorHAnsi"/>
          <w:color w:val="3D3B39"/>
          <w:lang w:eastAsia="it-IT"/>
        </w:rPr>
      </w:pPr>
      <w:r w:rsidRPr="008B3F4B">
        <w:rPr>
          <w:rFonts w:asciiTheme="minorHAnsi" w:eastAsia="Times New Roman" w:hAnsiTheme="minorHAnsi" w:cstheme="minorHAnsi"/>
          <w:color w:val="3D3B39"/>
          <w:lang w:eastAsia="it-IT"/>
        </w:rPr>
        <w:lastRenderedPageBreak/>
        <w:t xml:space="preserve">Pubblicato il 10/05/2019 </w:t>
      </w:r>
      <w:r w:rsidRPr="008B3F4B">
        <w:rPr>
          <w:rFonts w:asciiTheme="minorHAnsi" w:eastAsia="Times New Roman" w:hAnsiTheme="minorHAnsi" w:cstheme="minorHAnsi"/>
          <w:color w:val="3D3B39"/>
          <w:lang w:eastAsia="it-IT"/>
        </w:rPr>
        <w:br/>
      </w:r>
      <w:r w:rsidRPr="008B3F4B">
        <w:rPr>
          <w:rFonts w:asciiTheme="minorHAnsi" w:eastAsia="Times New Roman" w:hAnsiTheme="minorHAnsi" w:cstheme="minorHAnsi"/>
          <w:b/>
          <w:bCs/>
          <w:color w:val="3D3B39"/>
          <w:lang w:eastAsia="it-IT"/>
        </w:rPr>
        <w:t>N. 00432/2019 REG.PROV.COLL.</w:t>
      </w:r>
      <w:r w:rsidRPr="008B3F4B">
        <w:rPr>
          <w:rFonts w:asciiTheme="minorHAnsi" w:eastAsia="Times New Roman" w:hAnsiTheme="minorHAnsi" w:cstheme="minorHAnsi"/>
          <w:color w:val="3D3B39"/>
          <w:lang w:eastAsia="it-IT"/>
        </w:rPr>
        <w:t xml:space="preserve"> </w:t>
      </w:r>
      <w:r w:rsidRPr="008B3F4B">
        <w:rPr>
          <w:rFonts w:asciiTheme="minorHAnsi" w:eastAsia="Times New Roman" w:hAnsiTheme="minorHAnsi" w:cstheme="minorHAnsi"/>
          <w:color w:val="3D3B39"/>
          <w:lang w:eastAsia="it-IT"/>
        </w:rPr>
        <w:br/>
      </w:r>
      <w:r w:rsidRPr="008B3F4B">
        <w:rPr>
          <w:rFonts w:asciiTheme="minorHAnsi" w:eastAsia="Times New Roman" w:hAnsiTheme="minorHAnsi" w:cstheme="minorHAnsi"/>
          <w:b/>
          <w:bCs/>
          <w:color w:val="3D3B39"/>
          <w:lang w:eastAsia="it-IT"/>
        </w:rPr>
        <w:t>N. 00654/2018 REG.RIC.</w:t>
      </w:r>
      <w:r w:rsidRPr="008B3F4B">
        <w:rPr>
          <w:rFonts w:asciiTheme="minorHAnsi" w:eastAsia="Times New Roman" w:hAnsiTheme="minorHAnsi" w:cstheme="minorHAnsi"/>
          <w:color w:val="3D3B39"/>
          <w:lang w:eastAsia="it-IT"/>
        </w:rPr>
        <w:t xml:space="preserve"> </w:t>
      </w:r>
      <w:r w:rsidRPr="008B3F4B">
        <w:rPr>
          <w:rFonts w:asciiTheme="minorHAnsi" w:eastAsia="Times New Roman" w:hAnsiTheme="minorHAnsi" w:cstheme="minorHAnsi"/>
          <w:color w:val="3D3B39"/>
          <w:lang w:eastAsia="it-IT"/>
        </w:rPr>
        <w:br/>
      </w:r>
      <w:r w:rsidRPr="008B3F4B">
        <w:rPr>
          <w:rFonts w:asciiTheme="minorHAnsi" w:eastAsia="Times New Roman" w:hAnsiTheme="minorHAnsi" w:cstheme="minorHAnsi"/>
          <w:b/>
          <w:bCs/>
          <w:color w:val="3D3B39"/>
          <w:lang w:eastAsia="it-IT"/>
        </w:rPr>
        <w:t>N. 00800/2018 REG.RIC.</w:t>
      </w:r>
      <w:r w:rsidRPr="008B3F4B">
        <w:rPr>
          <w:rFonts w:asciiTheme="minorHAnsi" w:eastAsia="Times New Roman" w:hAnsiTheme="minorHAnsi" w:cstheme="minorHAnsi"/>
          <w:color w:val="3D3B39"/>
          <w:lang w:eastAsia="it-IT"/>
        </w:rPr>
        <w:t xml:space="preserve"> </w:t>
      </w:r>
    </w:p>
    <w:p w:rsidR="008B3F4B" w:rsidRPr="008B3F4B" w:rsidRDefault="008B3F4B" w:rsidP="008B3F4B">
      <w:pPr>
        <w:spacing w:after="265"/>
        <w:jc w:val="center"/>
        <w:rPr>
          <w:rFonts w:asciiTheme="minorHAnsi" w:eastAsia="Times New Roman" w:hAnsiTheme="minorHAnsi" w:cstheme="minorHAnsi"/>
          <w:color w:val="3D3B39"/>
          <w:lang w:eastAsia="it-IT"/>
        </w:rPr>
      </w:pPr>
      <w:r w:rsidRPr="008B3F4B">
        <w:rPr>
          <w:rFonts w:asciiTheme="minorHAnsi" w:eastAsia="Times New Roman" w:hAnsiTheme="minorHAnsi" w:cstheme="minorHAnsi"/>
          <w:b/>
          <w:bCs/>
          <w:color w:val="3D3B39"/>
          <w:lang w:eastAsia="it-IT"/>
        </w:rPr>
        <w:t>REPUBBLICA ITALIANA</w:t>
      </w:r>
      <w:r w:rsidRPr="008B3F4B">
        <w:rPr>
          <w:rFonts w:asciiTheme="minorHAnsi" w:eastAsia="Times New Roman" w:hAnsiTheme="minorHAnsi" w:cstheme="minorHAnsi"/>
          <w:color w:val="3D3B39"/>
          <w:lang w:eastAsia="it-IT"/>
        </w:rPr>
        <w:t xml:space="preserve"> </w:t>
      </w:r>
      <w:r w:rsidRPr="008B3F4B">
        <w:rPr>
          <w:rFonts w:asciiTheme="minorHAnsi" w:eastAsia="Times New Roman" w:hAnsiTheme="minorHAnsi" w:cstheme="minorHAnsi"/>
          <w:color w:val="3D3B39"/>
          <w:lang w:eastAsia="it-IT"/>
        </w:rPr>
        <w:br/>
      </w:r>
      <w:r w:rsidRPr="008B3F4B">
        <w:rPr>
          <w:rFonts w:asciiTheme="minorHAnsi" w:eastAsia="Times New Roman" w:hAnsiTheme="minorHAnsi" w:cstheme="minorHAnsi"/>
          <w:b/>
          <w:bCs/>
          <w:color w:val="3D3B39"/>
          <w:lang w:eastAsia="it-IT"/>
        </w:rPr>
        <w:t>IN NOME DEL POPOLO ITALIANO</w:t>
      </w:r>
      <w:r w:rsidRPr="008B3F4B">
        <w:rPr>
          <w:rFonts w:asciiTheme="minorHAnsi" w:eastAsia="Times New Roman" w:hAnsiTheme="minorHAnsi" w:cstheme="minorHAnsi"/>
          <w:color w:val="3D3B39"/>
          <w:lang w:eastAsia="it-IT"/>
        </w:rPr>
        <w:t xml:space="preserve"> </w:t>
      </w:r>
      <w:r w:rsidRPr="008B3F4B">
        <w:rPr>
          <w:rFonts w:asciiTheme="minorHAnsi" w:eastAsia="Times New Roman" w:hAnsiTheme="minorHAnsi" w:cstheme="minorHAnsi"/>
          <w:color w:val="3D3B39"/>
          <w:lang w:eastAsia="it-IT"/>
        </w:rPr>
        <w:br/>
      </w:r>
      <w:r w:rsidRPr="008B3F4B">
        <w:rPr>
          <w:rFonts w:asciiTheme="minorHAnsi" w:eastAsia="Times New Roman" w:hAnsiTheme="minorHAnsi" w:cstheme="minorHAnsi"/>
          <w:b/>
          <w:bCs/>
          <w:color w:val="3D3B39"/>
          <w:lang w:eastAsia="it-IT"/>
        </w:rPr>
        <w:t>Il Tribunale Amministrativo Regionale per la Liguria</w:t>
      </w:r>
      <w:r w:rsidRPr="008B3F4B">
        <w:rPr>
          <w:rFonts w:asciiTheme="minorHAnsi" w:eastAsia="Times New Roman" w:hAnsiTheme="minorHAnsi" w:cstheme="minorHAnsi"/>
          <w:color w:val="3D3B39"/>
          <w:lang w:eastAsia="it-IT"/>
        </w:rPr>
        <w:t xml:space="preserve"> </w:t>
      </w:r>
      <w:r w:rsidRPr="008B3F4B">
        <w:rPr>
          <w:rFonts w:asciiTheme="minorHAnsi" w:eastAsia="Times New Roman" w:hAnsiTheme="minorHAnsi" w:cstheme="minorHAnsi"/>
          <w:color w:val="3D3B39"/>
          <w:lang w:eastAsia="it-IT"/>
        </w:rPr>
        <w:br/>
      </w:r>
      <w:r w:rsidRPr="008B3F4B">
        <w:rPr>
          <w:rFonts w:asciiTheme="minorHAnsi" w:eastAsia="Times New Roman" w:hAnsiTheme="minorHAnsi" w:cstheme="minorHAnsi"/>
          <w:b/>
          <w:bCs/>
          <w:color w:val="3D3B39"/>
          <w:lang w:eastAsia="it-IT"/>
        </w:rPr>
        <w:t>(Sezione Prima)</w:t>
      </w:r>
      <w:r w:rsidRPr="008B3F4B">
        <w:rPr>
          <w:rFonts w:asciiTheme="minorHAnsi" w:eastAsia="Times New Roman" w:hAnsiTheme="minorHAnsi" w:cstheme="minorHAnsi"/>
          <w:color w:val="3D3B39"/>
          <w:lang w:eastAsia="it-IT"/>
        </w:rPr>
        <w:t xml:space="preserve"> </w:t>
      </w:r>
      <w:r w:rsidRPr="008B3F4B">
        <w:rPr>
          <w:rFonts w:asciiTheme="minorHAnsi" w:eastAsia="Times New Roman" w:hAnsiTheme="minorHAnsi" w:cstheme="minorHAnsi"/>
          <w:color w:val="3D3B39"/>
          <w:lang w:eastAsia="it-IT"/>
        </w:rPr>
        <w:br/>
        <w:t>ha pronunciato la presente</w:t>
      </w:r>
    </w:p>
    <w:p w:rsidR="008B3F4B" w:rsidRPr="008B3F4B" w:rsidRDefault="008B3F4B" w:rsidP="008B3F4B">
      <w:pPr>
        <w:spacing w:after="265"/>
        <w:jc w:val="center"/>
        <w:rPr>
          <w:rFonts w:asciiTheme="minorHAnsi" w:eastAsia="Times New Roman" w:hAnsiTheme="minorHAnsi" w:cstheme="minorHAnsi"/>
          <w:color w:val="3D3B39"/>
          <w:lang w:eastAsia="it-IT"/>
        </w:rPr>
      </w:pPr>
      <w:r w:rsidRPr="008B3F4B">
        <w:rPr>
          <w:rFonts w:asciiTheme="minorHAnsi" w:eastAsia="Times New Roman" w:hAnsiTheme="minorHAnsi" w:cstheme="minorHAnsi"/>
          <w:b/>
          <w:bCs/>
          <w:color w:val="3D3B39"/>
          <w:lang w:eastAsia="it-IT"/>
        </w:rPr>
        <w:t>SENTENZA</w:t>
      </w:r>
      <w:r w:rsidRPr="008B3F4B">
        <w:rPr>
          <w:rFonts w:asciiTheme="minorHAnsi" w:eastAsia="Times New Roman" w:hAnsiTheme="minorHAnsi" w:cstheme="minorHAnsi"/>
          <w:color w:val="3D3B39"/>
          <w:lang w:eastAsia="it-IT"/>
        </w:rPr>
        <w:t xml:space="preserve"> </w:t>
      </w:r>
    </w:p>
    <w:p w:rsidR="008B3F4B" w:rsidRPr="008B3F4B" w:rsidRDefault="008B3F4B" w:rsidP="008B3F4B">
      <w:pPr>
        <w:spacing w:after="265"/>
        <w:rPr>
          <w:rFonts w:asciiTheme="minorHAnsi" w:eastAsia="Times New Roman" w:hAnsiTheme="minorHAnsi" w:cstheme="minorHAnsi"/>
          <w:color w:val="3D3B39"/>
          <w:lang w:eastAsia="it-IT"/>
        </w:rPr>
      </w:pPr>
      <w:r w:rsidRPr="008B3F4B">
        <w:rPr>
          <w:rFonts w:asciiTheme="minorHAnsi" w:eastAsia="Times New Roman" w:hAnsiTheme="minorHAnsi" w:cstheme="minorHAnsi"/>
          <w:color w:val="3D3B39"/>
          <w:lang w:eastAsia="it-IT"/>
        </w:rPr>
        <w:t>sul ricorso numero di registro generale 654 del 2018, integrato da motivi aggiunti, proposto da:</w:t>
      </w:r>
      <w:r w:rsidRPr="008B3F4B">
        <w:rPr>
          <w:rFonts w:asciiTheme="minorHAnsi" w:eastAsia="Times New Roman" w:hAnsiTheme="minorHAnsi" w:cstheme="minorHAnsi"/>
          <w:color w:val="3D3B39"/>
          <w:lang w:eastAsia="it-IT"/>
        </w:rPr>
        <w:br/>
        <w:t xml:space="preserve">OMISSIS S.r.l., rappresentata e difesa dagli avv. OMISSIS; </w:t>
      </w:r>
      <w:r w:rsidRPr="008B3F4B">
        <w:rPr>
          <w:rFonts w:asciiTheme="minorHAnsi" w:eastAsia="Times New Roman" w:hAnsiTheme="minorHAnsi" w:cstheme="minorHAnsi"/>
          <w:color w:val="3D3B39"/>
          <w:lang w:eastAsia="it-IT"/>
        </w:rPr>
        <w:br/>
      </w:r>
      <w:r w:rsidRPr="008B3F4B">
        <w:rPr>
          <w:rFonts w:asciiTheme="minorHAnsi" w:eastAsia="Times New Roman" w:hAnsiTheme="minorHAnsi" w:cstheme="minorHAnsi"/>
          <w:b/>
          <w:bCs/>
          <w:i/>
          <w:iCs/>
          <w:color w:val="3D3B39"/>
          <w:lang w:eastAsia="it-IT"/>
        </w:rPr>
        <w:t>contro</w:t>
      </w:r>
      <w:r w:rsidRPr="008B3F4B">
        <w:rPr>
          <w:rFonts w:asciiTheme="minorHAnsi" w:eastAsia="Times New Roman" w:hAnsiTheme="minorHAnsi" w:cstheme="minorHAnsi"/>
          <w:color w:val="3D3B39"/>
          <w:lang w:eastAsia="it-IT"/>
        </w:rPr>
        <w:t xml:space="preserve"> </w:t>
      </w:r>
      <w:r w:rsidRPr="008B3F4B">
        <w:rPr>
          <w:rFonts w:asciiTheme="minorHAnsi" w:eastAsia="Times New Roman" w:hAnsiTheme="minorHAnsi" w:cstheme="minorHAnsi"/>
          <w:color w:val="3D3B39"/>
          <w:lang w:eastAsia="it-IT"/>
        </w:rPr>
        <w:br/>
        <w:t xml:space="preserve">OMISSIS, in persona del Direttore dell’Area centrale regionale di acquisto, rappresentata e difesa dall’avv. OMISSIS; </w:t>
      </w:r>
      <w:r w:rsidRPr="008B3F4B">
        <w:rPr>
          <w:rFonts w:asciiTheme="minorHAnsi" w:eastAsia="Times New Roman" w:hAnsiTheme="minorHAnsi" w:cstheme="minorHAnsi"/>
          <w:color w:val="3D3B39"/>
          <w:lang w:eastAsia="it-IT"/>
        </w:rPr>
        <w:br/>
      </w:r>
      <w:r w:rsidRPr="008B3F4B">
        <w:rPr>
          <w:rFonts w:asciiTheme="minorHAnsi" w:eastAsia="Times New Roman" w:hAnsiTheme="minorHAnsi" w:cstheme="minorHAnsi"/>
          <w:b/>
          <w:bCs/>
          <w:i/>
          <w:iCs/>
          <w:color w:val="3D3B39"/>
          <w:lang w:eastAsia="it-IT"/>
        </w:rPr>
        <w:t>nei confronti</w:t>
      </w:r>
      <w:r w:rsidRPr="008B3F4B">
        <w:rPr>
          <w:rFonts w:asciiTheme="minorHAnsi" w:eastAsia="Times New Roman" w:hAnsiTheme="minorHAnsi" w:cstheme="minorHAnsi"/>
          <w:color w:val="3D3B39"/>
          <w:lang w:eastAsia="it-IT"/>
        </w:rPr>
        <w:t xml:space="preserve"> </w:t>
      </w:r>
      <w:r w:rsidRPr="008B3F4B">
        <w:rPr>
          <w:rFonts w:asciiTheme="minorHAnsi" w:eastAsia="Times New Roman" w:hAnsiTheme="minorHAnsi" w:cstheme="minorHAnsi"/>
          <w:color w:val="3D3B39"/>
          <w:lang w:eastAsia="it-IT"/>
        </w:rPr>
        <w:br/>
        <w:t>OMISSIS S.r.l., rappresentata e difesa dagli avv. OMISSIS;</w:t>
      </w:r>
      <w:r w:rsidRPr="008B3F4B">
        <w:rPr>
          <w:rFonts w:asciiTheme="minorHAnsi" w:eastAsia="Times New Roman" w:hAnsiTheme="minorHAnsi" w:cstheme="minorHAnsi"/>
          <w:color w:val="3D3B39"/>
          <w:lang w:eastAsia="it-IT"/>
        </w:rPr>
        <w:br/>
        <w:t>OMISSIS S.p.a., rappresentata e difesa dagli avv. OMISSIS;</w:t>
      </w:r>
      <w:r w:rsidRPr="008B3F4B">
        <w:rPr>
          <w:rFonts w:asciiTheme="minorHAnsi" w:eastAsia="Times New Roman" w:hAnsiTheme="minorHAnsi" w:cstheme="minorHAnsi"/>
          <w:color w:val="3D3B39"/>
          <w:lang w:eastAsia="it-IT"/>
        </w:rPr>
        <w:br/>
        <w:t xml:space="preserve">OMISSIS S.r.l., OMISSIS S.p.a., OMISSIS S.p.a., OMISSIS S.r.l., non costituite in giudizio; </w:t>
      </w:r>
      <w:r w:rsidRPr="008B3F4B">
        <w:rPr>
          <w:rFonts w:asciiTheme="minorHAnsi" w:eastAsia="Times New Roman" w:hAnsiTheme="minorHAnsi" w:cstheme="minorHAnsi"/>
          <w:color w:val="3D3B39"/>
          <w:lang w:eastAsia="it-IT"/>
        </w:rPr>
        <w:br/>
      </w:r>
      <w:r w:rsidRPr="008B3F4B">
        <w:rPr>
          <w:rFonts w:asciiTheme="minorHAnsi" w:eastAsia="Times New Roman" w:hAnsiTheme="minorHAnsi" w:cstheme="minorHAnsi"/>
          <w:color w:val="3D3B39"/>
          <w:lang w:eastAsia="it-IT"/>
        </w:rPr>
        <w:br/>
      </w:r>
      <w:r w:rsidRPr="008B3F4B">
        <w:rPr>
          <w:rFonts w:asciiTheme="minorHAnsi" w:eastAsia="Times New Roman" w:hAnsiTheme="minorHAnsi" w:cstheme="minorHAnsi"/>
          <w:color w:val="3D3B39"/>
          <w:lang w:eastAsia="it-IT"/>
        </w:rPr>
        <w:br/>
        <w:t>sul ricorso numero di registro generale 800 del 2018, proposto da:</w:t>
      </w:r>
      <w:r w:rsidRPr="008B3F4B">
        <w:rPr>
          <w:rFonts w:asciiTheme="minorHAnsi" w:eastAsia="Times New Roman" w:hAnsiTheme="minorHAnsi" w:cstheme="minorHAnsi"/>
          <w:color w:val="3D3B39"/>
          <w:lang w:eastAsia="it-IT"/>
        </w:rPr>
        <w:br/>
        <w:t xml:space="preserve">OMISSIS S.r.l., rappresentata e difesa dagli avv. OMISSIS; </w:t>
      </w:r>
      <w:r w:rsidRPr="008B3F4B">
        <w:rPr>
          <w:rFonts w:asciiTheme="minorHAnsi" w:eastAsia="Times New Roman" w:hAnsiTheme="minorHAnsi" w:cstheme="minorHAnsi"/>
          <w:color w:val="3D3B39"/>
          <w:lang w:eastAsia="it-IT"/>
        </w:rPr>
        <w:br/>
      </w:r>
      <w:r w:rsidRPr="008B3F4B">
        <w:rPr>
          <w:rFonts w:asciiTheme="minorHAnsi" w:eastAsia="Times New Roman" w:hAnsiTheme="minorHAnsi" w:cstheme="minorHAnsi"/>
          <w:b/>
          <w:bCs/>
          <w:i/>
          <w:iCs/>
          <w:color w:val="3D3B39"/>
          <w:lang w:eastAsia="it-IT"/>
        </w:rPr>
        <w:t>contro</w:t>
      </w:r>
      <w:r w:rsidRPr="008B3F4B">
        <w:rPr>
          <w:rFonts w:asciiTheme="minorHAnsi" w:eastAsia="Times New Roman" w:hAnsiTheme="minorHAnsi" w:cstheme="minorHAnsi"/>
          <w:color w:val="3D3B39"/>
          <w:lang w:eastAsia="it-IT"/>
        </w:rPr>
        <w:t xml:space="preserve"> </w:t>
      </w:r>
      <w:r w:rsidRPr="008B3F4B">
        <w:rPr>
          <w:rFonts w:asciiTheme="minorHAnsi" w:eastAsia="Times New Roman" w:hAnsiTheme="minorHAnsi" w:cstheme="minorHAnsi"/>
          <w:color w:val="3D3B39"/>
          <w:lang w:eastAsia="it-IT"/>
        </w:rPr>
        <w:br/>
        <w:t xml:space="preserve">OMISSIS, in persona del Direttore dell’Area centrale regionale di acquisto, rappresentata e difesa dall’avv. OMISSIS; </w:t>
      </w:r>
      <w:r w:rsidRPr="008B3F4B">
        <w:rPr>
          <w:rFonts w:asciiTheme="minorHAnsi" w:eastAsia="Times New Roman" w:hAnsiTheme="minorHAnsi" w:cstheme="minorHAnsi"/>
          <w:color w:val="3D3B39"/>
          <w:lang w:eastAsia="it-IT"/>
        </w:rPr>
        <w:br/>
      </w:r>
      <w:r w:rsidRPr="008B3F4B">
        <w:rPr>
          <w:rFonts w:asciiTheme="minorHAnsi" w:eastAsia="Times New Roman" w:hAnsiTheme="minorHAnsi" w:cstheme="minorHAnsi"/>
          <w:b/>
          <w:bCs/>
          <w:i/>
          <w:iCs/>
          <w:color w:val="3D3B39"/>
          <w:lang w:eastAsia="it-IT"/>
        </w:rPr>
        <w:t>nei confronti</w:t>
      </w:r>
      <w:r w:rsidRPr="008B3F4B">
        <w:rPr>
          <w:rFonts w:asciiTheme="minorHAnsi" w:eastAsia="Times New Roman" w:hAnsiTheme="minorHAnsi" w:cstheme="minorHAnsi"/>
          <w:color w:val="3D3B39"/>
          <w:lang w:eastAsia="it-IT"/>
        </w:rPr>
        <w:t xml:space="preserve"> </w:t>
      </w:r>
      <w:r w:rsidRPr="008B3F4B">
        <w:rPr>
          <w:rFonts w:asciiTheme="minorHAnsi" w:eastAsia="Times New Roman" w:hAnsiTheme="minorHAnsi" w:cstheme="minorHAnsi"/>
          <w:color w:val="3D3B39"/>
          <w:lang w:eastAsia="it-IT"/>
        </w:rPr>
        <w:br/>
        <w:t>OMISSIS S.r.l., rappresentata e difesa dagli avv. OMISSIS;</w:t>
      </w:r>
      <w:r w:rsidRPr="008B3F4B">
        <w:rPr>
          <w:rFonts w:asciiTheme="minorHAnsi" w:eastAsia="Times New Roman" w:hAnsiTheme="minorHAnsi" w:cstheme="minorHAnsi"/>
          <w:color w:val="3D3B39"/>
          <w:lang w:eastAsia="it-IT"/>
        </w:rPr>
        <w:br/>
        <w:t xml:space="preserve">OMISSIS S.p.a., rappresentata e difesa dagli avv. OMISSIS; </w:t>
      </w:r>
      <w:r w:rsidRPr="008B3F4B">
        <w:rPr>
          <w:rFonts w:asciiTheme="minorHAnsi" w:eastAsia="Times New Roman" w:hAnsiTheme="minorHAnsi" w:cstheme="minorHAnsi"/>
          <w:color w:val="3D3B39"/>
          <w:lang w:eastAsia="it-IT"/>
        </w:rPr>
        <w:br/>
      </w:r>
      <w:r w:rsidRPr="008B3F4B">
        <w:rPr>
          <w:rFonts w:asciiTheme="minorHAnsi" w:eastAsia="Times New Roman" w:hAnsiTheme="minorHAnsi" w:cstheme="minorHAnsi"/>
          <w:b/>
          <w:bCs/>
          <w:i/>
          <w:iCs/>
          <w:color w:val="3D3B39"/>
          <w:lang w:eastAsia="it-IT"/>
        </w:rPr>
        <w:t>per l’annullamento</w:t>
      </w:r>
      <w:r w:rsidRPr="008B3F4B">
        <w:rPr>
          <w:rFonts w:asciiTheme="minorHAnsi" w:eastAsia="Times New Roman" w:hAnsiTheme="minorHAnsi" w:cstheme="minorHAnsi"/>
          <w:color w:val="3D3B39"/>
          <w:lang w:eastAsia="it-IT"/>
        </w:rPr>
        <w:t xml:space="preserve"> </w:t>
      </w:r>
      <w:r w:rsidRPr="008B3F4B">
        <w:rPr>
          <w:rFonts w:asciiTheme="minorHAnsi" w:eastAsia="Times New Roman" w:hAnsiTheme="minorHAnsi" w:cstheme="minorHAnsi"/>
          <w:color w:val="3D3B39"/>
          <w:lang w:eastAsia="it-IT"/>
        </w:rPr>
        <w:br/>
        <w:t xml:space="preserve">quanto al ricorso n. 654 del 2018: </w:t>
      </w:r>
      <w:r w:rsidRPr="008B3F4B">
        <w:rPr>
          <w:rFonts w:asciiTheme="minorHAnsi" w:eastAsia="Times New Roman" w:hAnsiTheme="minorHAnsi" w:cstheme="minorHAnsi"/>
          <w:color w:val="3D3B39"/>
          <w:lang w:eastAsia="it-IT"/>
        </w:rPr>
        <w:br/>
        <w:t xml:space="preserve">della determina n. 282 del Direttore dell’Area centrale regionale acquisto del 27.7.2018, comunicata in data 30 luglio 2018, con la quale Alisa ha provveduto alla aggiudicazione della procedura aperta “per la conclusione, in relazione a ciascun lotto, di un accordo quadro con più operatori economici, ai sensi dell’art. 54, comma 4, </w:t>
      </w:r>
      <w:proofErr w:type="spellStart"/>
      <w:r w:rsidRPr="008B3F4B">
        <w:rPr>
          <w:rFonts w:asciiTheme="minorHAnsi" w:eastAsia="Times New Roman" w:hAnsiTheme="minorHAnsi" w:cstheme="minorHAnsi"/>
          <w:color w:val="3D3B39"/>
          <w:lang w:eastAsia="it-IT"/>
        </w:rPr>
        <w:t>lett</w:t>
      </w:r>
      <w:proofErr w:type="spellEnd"/>
      <w:r w:rsidRPr="008B3F4B">
        <w:rPr>
          <w:rFonts w:asciiTheme="minorHAnsi" w:eastAsia="Times New Roman" w:hAnsiTheme="minorHAnsi" w:cstheme="minorHAnsi"/>
          <w:color w:val="3D3B39"/>
          <w:lang w:eastAsia="it-IT"/>
        </w:rPr>
        <w:t xml:space="preserve">. a), del d.lgs. n. 50/2016, per la fornitura di protesi d’anca occorrenti alle AA.SS.LL., EE.OO. e </w:t>
      </w:r>
      <w:proofErr w:type="spellStart"/>
      <w:r w:rsidRPr="008B3F4B">
        <w:rPr>
          <w:rFonts w:asciiTheme="minorHAnsi" w:eastAsia="Times New Roman" w:hAnsiTheme="minorHAnsi" w:cstheme="minorHAnsi"/>
          <w:color w:val="3D3B39"/>
          <w:lang w:eastAsia="it-IT"/>
        </w:rPr>
        <w:t>Irccs</w:t>
      </w:r>
      <w:proofErr w:type="spellEnd"/>
      <w:r w:rsidRPr="008B3F4B">
        <w:rPr>
          <w:rFonts w:asciiTheme="minorHAnsi" w:eastAsia="Times New Roman" w:hAnsiTheme="minorHAnsi" w:cstheme="minorHAnsi"/>
          <w:color w:val="3D3B39"/>
          <w:lang w:eastAsia="it-IT"/>
        </w:rPr>
        <w:t xml:space="preserve"> della regione Liguria”, con riferimento al lotto n. 8, avente ad oggetto “stelo retto non cementato a press </w:t>
      </w:r>
      <w:proofErr w:type="spellStart"/>
      <w:r w:rsidRPr="008B3F4B">
        <w:rPr>
          <w:rFonts w:asciiTheme="minorHAnsi" w:eastAsia="Times New Roman" w:hAnsiTheme="minorHAnsi" w:cstheme="minorHAnsi"/>
          <w:color w:val="3D3B39"/>
          <w:lang w:eastAsia="it-IT"/>
        </w:rPr>
        <w:t>fit</w:t>
      </w:r>
      <w:proofErr w:type="spellEnd"/>
      <w:r w:rsidRPr="008B3F4B">
        <w:rPr>
          <w:rFonts w:asciiTheme="minorHAnsi" w:eastAsia="Times New Roman" w:hAnsiTheme="minorHAnsi" w:cstheme="minorHAnsi"/>
          <w:color w:val="3D3B39"/>
          <w:lang w:eastAsia="it-IT"/>
        </w:rPr>
        <w:t xml:space="preserve"> </w:t>
      </w:r>
      <w:proofErr w:type="spellStart"/>
      <w:r w:rsidRPr="008B3F4B">
        <w:rPr>
          <w:rFonts w:asciiTheme="minorHAnsi" w:eastAsia="Times New Roman" w:hAnsiTheme="minorHAnsi" w:cstheme="minorHAnsi"/>
          <w:color w:val="3D3B39"/>
          <w:lang w:eastAsia="it-IT"/>
        </w:rPr>
        <w:t>metafisiario</w:t>
      </w:r>
      <w:proofErr w:type="spellEnd"/>
      <w:r w:rsidRPr="008B3F4B">
        <w:rPr>
          <w:rFonts w:asciiTheme="minorHAnsi" w:eastAsia="Times New Roman" w:hAnsiTheme="minorHAnsi" w:cstheme="minorHAnsi"/>
          <w:color w:val="3D3B39"/>
          <w:lang w:eastAsia="it-IT"/>
        </w:rPr>
        <w:t xml:space="preserve">”; </w:t>
      </w:r>
      <w:r w:rsidRPr="008B3F4B">
        <w:rPr>
          <w:rFonts w:asciiTheme="minorHAnsi" w:eastAsia="Times New Roman" w:hAnsiTheme="minorHAnsi" w:cstheme="minorHAnsi"/>
          <w:color w:val="3D3B39"/>
          <w:lang w:eastAsia="it-IT"/>
        </w:rPr>
        <w:br/>
        <w:t xml:space="preserve">dei verbali della Commissione giudicatrice relativi alla valutazione delle offerte tecniche, nella parte in cui vengono assegnati i punteggi tecnici e valutate ammissibili le offerte tecniche delle Società </w:t>
      </w:r>
      <w:proofErr w:type="spellStart"/>
      <w:r w:rsidRPr="008B3F4B">
        <w:rPr>
          <w:rFonts w:asciiTheme="minorHAnsi" w:eastAsia="Times New Roman" w:hAnsiTheme="minorHAnsi" w:cstheme="minorHAnsi"/>
          <w:color w:val="3D3B39"/>
          <w:lang w:eastAsia="it-IT"/>
        </w:rPr>
        <w:t>controinteressate</w:t>
      </w:r>
      <w:proofErr w:type="spellEnd"/>
      <w:r w:rsidRPr="008B3F4B">
        <w:rPr>
          <w:rFonts w:asciiTheme="minorHAnsi" w:eastAsia="Times New Roman" w:hAnsiTheme="minorHAnsi" w:cstheme="minorHAnsi"/>
          <w:color w:val="3D3B39"/>
          <w:lang w:eastAsia="it-IT"/>
        </w:rPr>
        <w:t xml:space="preserve">; </w:t>
      </w:r>
      <w:r w:rsidRPr="008B3F4B">
        <w:rPr>
          <w:rFonts w:asciiTheme="minorHAnsi" w:eastAsia="Times New Roman" w:hAnsiTheme="minorHAnsi" w:cstheme="minorHAnsi"/>
          <w:color w:val="3D3B39"/>
          <w:lang w:eastAsia="it-IT"/>
        </w:rPr>
        <w:br/>
        <w:t xml:space="preserve">di ogni altro atto connesso, presupposto e consequenziale, ivi compresi il bando, il disciplinare di gara e il capitolato tecnico, i loro allegati e tutti i verbali della procedura; </w:t>
      </w:r>
      <w:r w:rsidRPr="008B3F4B">
        <w:rPr>
          <w:rFonts w:asciiTheme="minorHAnsi" w:eastAsia="Times New Roman" w:hAnsiTheme="minorHAnsi" w:cstheme="minorHAnsi"/>
          <w:color w:val="3D3B39"/>
          <w:lang w:eastAsia="it-IT"/>
        </w:rPr>
        <w:br/>
        <w:t>nonché per la condanna di Alisa, ai sensi e per gli effetti di cui agli artt. 30, 119 e seguenti CPA e 245, 245 </w:t>
      </w:r>
      <w:r w:rsidRPr="008B3F4B">
        <w:rPr>
          <w:rFonts w:asciiTheme="minorHAnsi" w:eastAsia="Times New Roman" w:hAnsiTheme="minorHAnsi" w:cstheme="minorHAnsi"/>
          <w:i/>
          <w:iCs/>
          <w:color w:val="3D3B39"/>
          <w:lang w:eastAsia="it-IT"/>
        </w:rPr>
        <w:t>bis</w:t>
      </w:r>
      <w:r w:rsidRPr="008B3F4B">
        <w:rPr>
          <w:rFonts w:asciiTheme="minorHAnsi" w:eastAsia="Times New Roman" w:hAnsiTheme="minorHAnsi" w:cstheme="minorHAnsi"/>
          <w:color w:val="3D3B39"/>
          <w:lang w:eastAsia="it-IT"/>
        </w:rPr>
        <w:t>, </w:t>
      </w:r>
      <w:r w:rsidRPr="008B3F4B">
        <w:rPr>
          <w:rFonts w:asciiTheme="minorHAnsi" w:eastAsia="Times New Roman" w:hAnsiTheme="minorHAnsi" w:cstheme="minorHAnsi"/>
          <w:i/>
          <w:iCs/>
          <w:color w:val="3D3B39"/>
          <w:lang w:eastAsia="it-IT"/>
        </w:rPr>
        <w:t>ter</w:t>
      </w:r>
      <w:r w:rsidRPr="008B3F4B">
        <w:rPr>
          <w:rFonts w:asciiTheme="minorHAnsi" w:eastAsia="Times New Roman" w:hAnsiTheme="minorHAnsi" w:cstheme="minorHAnsi"/>
          <w:color w:val="3D3B39"/>
          <w:lang w:eastAsia="it-IT"/>
        </w:rPr>
        <w:t>, </w:t>
      </w:r>
      <w:r w:rsidRPr="008B3F4B">
        <w:rPr>
          <w:rFonts w:asciiTheme="minorHAnsi" w:eastAsia="Times New Roman" w:hAnsiTheme="minorHAnsi" w:cstheme="minorHAnsi"/>
          <w:i/>
          <w:iCs/>
          <w:color w:val="3D3B39"/>
          <w:lang w:eastAsia="it-IT"/>
        </w:rPr>
        <w:t>quater</w:t>
      </w:r>
      <w:r w:rsidRPr="008B3F4B">
        <w:rPr>
          <w:rFonts w:asciiTheme="minorHAnsi" w:eastAsia="Times New Roman" w:hAnsiTheme="minorHAnsi" w:cstheme="minorHAnsi"/>
          <w:color w:val="3D3B39"/>
          <w:lang w:eastAsia="it-IT"/>
        </w:rPr>
        <w:t> e </w:t>
      </w:r>
      <w:proofErr w:type="spellStart"/>
      <w:r w:rsidRPr="008B3F4B">
        <w:rPr>
          <w:rFonts w:asciiTheme="minorHAnsi" w:eastAsia="Times New Roman" w:hAnsiTheme="minorHAnsi" w:cstheme="minorHAnsi"/>
          <w:i/>
          <w:iCs/>
          <w:color w:val="3D3B39"/>
          <w:lang w:eastAsia="it-IT"/>
        </w:rPr>
        <w:t>quinquies</w:t>
      </w:r>
      <w:proofErr w:type="spellEnd"/>
      <w:r w:rsidRPr="008B3F4B">
        <w:rPr>
          <w:rFonts w:asciiTheme="minorHAnsi" w:eastAsia="Times New Roman" w:hAnsiTheme="minorHAnsi" w:cstheme="minorHAnsi"/>
          <w:color w:val="3D3B39"/>
          <w:lang w:eastAsia="it-IT"/>
        </w:rPr>
        <w:t> del d.lgs. 163/2006, previa dichiarazione di inefficacia del contratto </w:t>
      </w:r>
      <w:r w:rsidRPr="008B3F4B">
        <w:rPr>
          <w:rFonts w:asciiTheme="minorHAnsi" w:eastAsia="Times New Roman" w:hAnsiTheme="minorHAnsi" w:cstheme="minorHAnsi"/>
          <w:i/>
          <w:iCs/>
          <w:color w:val="3D3B39"/>
          <w:lang w:eastAsia="it-IT"/>
        </w:rPr>
        <w:t>medio tempore</w:t>
      </w:r>
      <w:r w:rsidRPr="008B3F4B">
        <w:rPr>
          <w:rFonts w:asciiTheme="minorHAnsi" w:eastAsia="Times New Roman" w:hAnsiTheme="minorHAnsi" w:cstheme="minorHAnsi"/>
          <w:color w:val="3D3B39"/>
          <w:lang w:eastAsia="it-IT"/>
        </w:rPr>
        <w:t xml:space="preserve"> eventualmente stipulato tra la medesima e la Società affidataria, ad inserire l’odierna ricorrente nella graduatoria alla posizione effettivamente spettante, con pronuncia a valere quale reintegrazione in forma specifica del danno subito; </w:t>
      </w:r>
      <w:r w:rsidRPr="008B3F4B">
        <w:rPr>
          <w:rFonts w:asciiTheme="minorHAnsi" w:eastAsia="Times New Roman" w:hAnsiTheme="minorHAnsi" w:cstheme="minorHAnsi"/>
          <w:color w:val="3D3B39"/>
          <w:lang w:eastAsia="it-IT"/>
        </w:rPr>
        <w:br/>
        <w:t>ovvero, in via subordinata, qualora risultasse impossibile il risarcimento in forma specifica, per la condanna di Alisa al risarcimento del danno subito, conseguente alla illegittimità degli atti impugnati e dell’</w:t>
      </w:r>
      <w:r w:rsidRPr="008B3F4B">
        <w:rPr>
          <w:rFonts w:asciiTheme="minorHAnsi" w:eastAsia="Times New Roman" w:hAnsiTheme="minorHAnsi" w:cstheme="minorHAnsi"/>
          <w:i/>
          <w:iCs/>
          <w:color w:val="3D3B39"/>
          <w:lang w:eastAsia="it-IT"/>
        </w:rPr>
        <w:t>iter</w:t>
      </w:r>
      <w:r w:rsidRPr="008B3F4B">
        <w:rPr>
          <w:rFonts w:asciiTheme="minorHAnsi" w:eastAsia="Times New Roman" w:hAnsiTheme="minorHAnsi" w:cstheme="minorHAnsi"/>
          <w:color w:val="3D3B39"/>
          <w:lang w:eastAsia="it-IT"/>
        </w:rPr>
        <w:t> seguito dall’Amministrazione nella procedura </w:t>
      </w:r>
      <w:r w:rsidRPr="008B3F4B">
        <w:rPr>
          <w:rFonts w:asciiTheme="minorHAnsi" w:eastAsia="Times New Roman" w:hAnsiTheme="minorHAnsi" w:cstheme="minorHAnsi"/>
          <w:i/>
          <w:iCs/>
          <w:color w:val="3D3B39"/>
          <w:lang w:eastAsia="it-IT"/>
        </w:rPr>
        <w:t>de qua</w:t>
      </w:r>
      <w:r w:rsidRPr="008B3F4B">
        <w:rPr>
          <w:rFonts w:asciiTheme="minorHAnsi" w:eastAsia="Times New Roman" w:hAnsiTheme="minorHAnsi" w:cstheme="minorHAnsi"/>
          <w:color w:val="3D3B39"/>
          <w:lang w:eastAsia="it-IT"/>
        </w:rPr>
        <w:t xml:space="preserve">, con conseguente declaratoria dei criteri in </w:t>
      </w:r>
      <w:r w:rsidRPr="008B3F4B">
        <w:rPr>
          <w:rFonts w:asciiTheme="minorHAnsi" w:eastAsia="Times New Roman" w:hAnsiTheme="minorHAnsi" w:cstheme="minorHAnsi"/>
          <w:color w:val="3D3B39"/>
          <w:lang w:eastAsia="it-IT"/>
        </w:rPr>
        <w:lastRenderedPageBreak/>
        <w:t>base ai quali Alisa dovrà formulare una proposta di pagamento, comprendente sia il lucro cessante che la Società ricorrente avrebbe ottenuto se non fosse stata esclusa dalla procedura, da liquidarsi anche in via equitativa </w:t>
      </w:r>
      <w:r w:rsidRPr="008B3F4B">
        <w:rPr>
          <w:rFonts w:asciiTheme="minorHAnsi" w:eastAsia="Times New Roman" w:hAnsiTheme="minorHAnsi" w:cstheme="minorHAnsi"/>
          <w:i/>
          <w:iCs/>
          <w:color w:val="3D3B39"/>
          <w:lang w:eastAsia="it-IT"/>
        </w:rPr>
        <w:t>ex</w:t>
      </w:r>
      <w:r w:rsidRPr="008B3F4B">
        <w:rPr>
          <w:rFonts w:asciiTheme="minorHAnsi" w:eastAsia="Times New Roman" w:hAnsiTheme="minorHAnsi" w:cstheme="minorHAnsi"/>
          <w:color w:val="3D3B39"/>
          <w:lang w:eastAsia="it-IT"/>
        </w:rPr>
        <w:t xml:space="preserve"> art. 1226 C.C. e comunque in misura non inferiore al 10% del valore dell’affidamento, maggiorata di rivalutazione monetaria e interessi legali sulla somma rivalutata fino al giorno del saldo effettivo; </w:t>
      </w:r>
      <w:r w:rsidRPr="008B3F4B">
        <w:rPr>
          <w:rFonts w:asciiTheme="minorHAnsi" w:eastAsia="Times New Roman" w:hAnsiTheme="minorHAnsi" w:cstheme="minorHAnsi"/>
          <w:color w:val="3D3B39"/>
          <w:lang w:eastAsia="it-IT"/>
        </w:rPr>
        <w:br/>
        <w:t xml:space="preserve">e, con ricorso per motivi aggiunti, per l’annullamento </w:t>
      </w:r>
      <w:r w:rsidRPr="008B3F4B">
        <w:rPr>
          <w:rFonts w:asciiTheme="minorHAnsi" w:eastAsia="Times New Roman" w:hAnsiTheme="minorHAnsi" w:cstheme="minorHAnsi"/>
          <w:color w:val="3D3B39"/>
          <w:lang w:eastAsia="it-IT"/>
        </w:rPr>
        <w:br/>
        <w:t xml:space="preserve">della determinazione n. 394 del 6.11.2018, comunicata alla ricorrente nella stessa data, nella parte in cui ritiene l’offerta tecnica della OMISSIS equivalente a quanto richiesto dagli atti di gara e approva la nuova graduatoria definitiva della gara, ponendo al primo posto la OMISSIS e al secondo la Società OMISSIS; </w:t>
      </w:r>
      <w:r w:rsidRPr="008B3F4B">
        <w:rPr>
          <w:rFonts w:asciiTheme="minorHAnsi" w:eastAsia="Times New Roman" w:hAnsiTheme="minorHAnsi" w:cstheme="minorHAnsi"/>
          <w:color w:val="3D3B39"/>
          <w:lang w:eastAsia="it-IT"/>
        </w:rPr>
        <w:br/>
        <w:t xml:space="preserve">di tutti gli atti comunque presupposti e connessi, con particolare riferimento alla nota di Alisa in data 16.11.2011 e al verbale della Commissione giudicatrice del 22.10.2018, mai trasmesso alla ricorrente e non disponibile sul sito della Stazione appaltante; </w:t>
      </w:r>
      <w:r w:rsidRPr="008B3F4B">
        <w:rPr>
          <w:rFonts w:asciiTheme="minorHAnsi" w:eastAsia="Times New Roman" w:hAnsiTheme="minorHAnsi" w:cstheme="minorHAnsi"/>
          <w:color w:val="3D3B39"/>
          <w:lang w:eastAsia="it-IT"/>
        </w:rPr>
        <w:br/>
        <w:t xml:space="preserve">quanto al ricorso n. 800 del 2018: </w:t>
      </w:r>
      <w:r w:rsidRPr="008B3F4B">
        <w:rPr>
          <w:rFonts w:asciiTheme="minorHAnsi" w:eastAsia="Times New Roman" w:hAnsiTheme="minorHAnsi" w:cstheme="minorHAnsi"/>
          <w:color w:val="3D3B39"/>
          <w:lang w:eastAsia="it-IT"/>
        </w:rPr>
        <w:br/>
        <w:t xml:space="preserve">della determinazione n. 394 del 6.11.2018, comunicata in data 7.11.2018, con la quale Alisa ha annullato in autotutela l’aggiudicazione definitiva del lotto n. 8 e contestualmente ha approvato la nuova graduatoria; </w:t>
      </w:r>
      <w:r w:rsidRPr="008B3F4B">
        <w:rPr>
          <w:rFonts w:asciiTheme="minorHAnsi" w:eastAsia="Times New Roman" w:hAnsiTheme="minorHAnsi" w:cstheme="minorHAnsi"/>
          <w:color w:val="3D3B39"/>
          <w:lang w:eastAsia="it-IT"/>
        </w:rPr>
        <w:br/>
        <w:t xml:space="preserve">della nota, comunicata in data 6.11.2018, con la quale Alisa ha comunicato l’avvenuto annullamento in autotutela dell’aggiudicazione definitiva del lotto n. 8 e contestuale approvazione graduatoria di aggiudicazione definitiva; </w:t>
      </w:r>
      <w:r w:rsidRPr="008B3F4B">
        <w:rPr>
          <w:rFonts w:asciiTheme="minorHAnsi" w:eastAsia="Times New Roman" w:hAnsiTheme="minorHAnsi" w:cstheme="minorHAnsi"/>
          <w:color w:val="3D3B39"/>
          <w:lang w:eastAsia="it-IT"/>
        </w:rPr>
        <w:br/>
        <w:t xml:space="preserve">se ed in quanto occorrer possa, del bando, del disciplinare di gara, del capitolato tecnico; </w:t>
      </w:r>
      <w:r w:rsidRPr="008B3F4B">
        <w:rPr>
          <w:rFonts w:asciiTheme="minorHAnsi" w:eastAsia="Times New Roman" w:hAnsiTheme="minorHAnsi" w:cstheme="minorHAnsi"/>
          <w:color w:val="3D3B39"/>
          <w:lang w:eastAsia="it-IT"/>
        </w:rPr>
        <w:br/>
        <w:t xml:space="preserve">di ogni atto e/o provvedimento presupposto, consequenziale e/o comunque connesso; </w:t>
      </w:r>
      <w:r w:rsidRPr="008B3F4B">
        <w:rPr>
          <w:rFonts w:asciiTheme="minorHAnsi" w:eastAsia="Times New Roman" w:hAnsiTheme="minorHAnsi" w:cstheme="minorHAnsi"/>
          <w:color w:val="3D3B39"/>
          <w:lang w:eastAsia="it-IT"/>
        </w:rPr>
        <w:br/>
        <w:t xml:space="preserve">per l’accertamento e la declaratoria del diritto della ricorrente ad ottenere, anche a titolo di risarcimento in forma specifica, l’annullamento del provvedimento in autotutela con riferimento al lotto n. 8 e, di conseguenza, l’aggiudicazione definitiva dello stesso con diritto ad ottenere la stipula del contratto; </w:t>
      </w:r>
      <w:r w:rsidRPr="008B3F4B">
        <w:rPr>
          <w:rFonts w:asciiTheme="minorHAnsi" w:eastAsia="Times New Roman" w:hAnsiTheme="minorHAnsi" w:cstheme="minorHAnsi"/>
          <w:color w:val="3D3B39"/>
          <w:lang w:eastAsia="it-IT"/>
        </w:rPr>
        <w:br/>
        <w:t>in subordine, laddove non fosse possibile il risarcimento in forma specifica, della declaratoria dei criteri in base ai quali Alisa dovrà formulare il pagamento comprendente il lucro cessante che la ricorrente avrebbe ottenuto se non fosse stata annullata l’aggiudicazione, da liquidarsi in via equitativa </w:t>
      </w:r>
      <w:r w:rsidRPr="008B3F4B">
        <w:rPr>
          <w:rFonts w:asciiTheme="minorHAnsi" w:eastAsia="Times New Roman" w:hAnsiTheme="minorHAnsi" w:cstheme="minorHAnsi"/>
          <w:i/>
          <w:iCs/>
          <w:color w:val="3D3B39"/>
          <w:lang w:eastAsia="it-IT"/>
        </w:rPr>
        <w:t>ex</w:t>
      </w:r>
      <w:r w:rsidRPr="008B3F4B">
        <w:rPr>
          <w:rFonts w:asciiTheme="minorHAnsi" w:eastAsia="Times New Roman" w:hAnsiTheme="minorHAnsi" w:cstheme="minorHAnsi"/>
          <w:color w:val="3D3B39"/>
          <w:lang w:eastAsia="it-IT"/>
        </w:rPr>
        <w:t xml:space="preserve"> art. 1226 c.c., maggiorata di interessi e rivalutazione economica fino a tale soddisfo; </w:t>
      </w:r>
      <w:r w:rsidRPr="008B3F4B">
        <w:rPr>
          <w:rFonts w:asciiTheme="minorHAnsi" w:eastAsia="Times New Roman" w:hAnsiTheme="minorHAnsi" w:cstheme="minorHAnsi"/>
          <w:color w:val="3D3B39"/>
          <w:lang w:eastAsia="it-IT"/>
        </w:rPr>
        <w:br/>
        <w:t xml:space="preserve">nonché per la declaratoria di inefficacia del contratto d’appalto relativo al lotto n. 8, ove sottoscritto, e per il subentro nell’aggiudicazione e nel contratto d’appalto riferito al lotto n. 8, ai sensi degli artt. 122 e 124 </w:t>
      </w:r>
      <w:proofErr w:type="spellStart"/>
      <w:r w:rsidRPr="008B3F4B">
        <w:rPr>
          <w:rFonts w:asciiTheme="minorHAnsi" w:eastAsia="Times New Roman" w:hAnsiTheme="minorHAnsi" w:cstheme="minorHAnsi"/>
          <w:color w:val="3D3B39"/>
          <w:lang w:eastAsia="it-IT"/>
        </w:rPr>
        <w:t>c.p.a</w:t>
      </w:r>
      <w:proofErr w:type="spellEnd"/>
      <w:r w:rsidRPr="008B3F4B">
        <w:rPr>
          <w:rFonts w:asciiTheme="minorHAnsi" w:eastAsia="Times New Roman" w:hAnsiTheme="minorHAnsi" w:cstheme="minorHAnsi"/>
          <w:color w:val="3D3B39"/>
          <w:lang w:eastAsia="it-IT"/>
        </w:rPr>
        <w:t xml:space="preserve">. </w:t>
      </w:r>
    </w:p>
    <w:p w:rsidR="008B3F4B" w:rsidRPr="008B3F4B" w:rsidRDefault="008B3F4B" w:rsidP="008B3F4B">
      <w:pPr>
        <w:spacing w:after="265"/>
        <w:rPr>
          <w:rFonts w:asciiTheme="minorHAnsi" w:eastAsia="Times New Roman" w:hAnsiTheme="minorHAnsi" w:cstheme="minorHAnsi"/>
          <w:color w:val="3D3B39"/>
          <w:lang w:eastAsia="it-IT"/>
        </w:rPr>
      </w:pPr>
      <w:r w:rsidRPr="008B3F4B">
        <w:rPr>
          <w:rFonts w:asciiTheme="minorHAnsi" w:eastAsia="Times New Roman" w:hAnsiTheme="minorHAnsi" w:cstheme="minorHAnsi"/>
          <w:color w:val="3D3B39"/>
          <w:lang w:eastAsia="it-IT"/>
        </w:rPr>
        <w:t xml:space="preserve">Visti i ricorsi, i motivi aggiunti e i relativi allegati; </w:t>
      </w:r>
      <w:r w:rsidRPr="008B3F4B">
        <w:rPr>
          <w:rFonts w:asciiTheme="minorHAnsi" w:eastAsia="Times New Roman" w:hAnsiTheme="minorHAnsi" w:cstheme="minorHAnsi"/>
          <w:color w:val="3D3B39"/>
          <w:lang w:eastAsia="it-IT"/>
        </w:rPr>
        <w:br/>
        <w:t xml:space="preserve">Visti gli atti di costituzione in giudizio dell’OMISSIS e delle </w:t>
      </w:r>
      <w:proofErr w:type="spellStart"/>
      <w:r w:rsidRPr="008B3F4B">
        <w:rPr>
          <w:rFonts w:asciiTheme="minorHAnsi" w:eastAsia="Times New Roman" w:hAnsiTheme="minorHAnsi" w:cstheme="minorHAnsi"/>
          <w:color w:val="3D3B39"/>
          <w:lang w:eastAsia="it-IT"/>
        </w:rPr>
        <w:t>controinteressate</w:t>
      </w:r>
      <w:proofErr w:type="spellEnd"/>
      <w:r w:rsidRPr="008B3F4B">
        <w:rPr>
          <w:rFonts w:asciiTheme="minorHAnsi" w:eastAsia="Times New Roman" w:hAnsiTheme="minorHAnsi" w:cstheme="minorHAnsi"/>
          <w:color w:val="3D3B39"/>
          <w:lang w:eastAsia="it-IT"/>
        </w:rPr>
        <w:t xml:space="preserve"> intimate; </w:t>
      </w:r>
      <w:r w:rsidRPr="008B3F4B">
        <w:rPr>
          <w:rFonts w:asciiTheme="minorHAnsi" w:eastAsia="Times New Roman" w:hAnsiTheme="minorHAnsi" w:cstheme="minorHAnsi"/>
          <w:color w:val="3D3B39"/>
          <w:lang w:eastAsia="it-IT"/>
        </w:rPr>
        <w:br/>
        <w:t xml:space="preserve">Viste le memorie difensive </w:t>
      </w:r>
      <w:r w:rsidRPr="008B3F4B">
        <w:rPr>
          <w:rFonts w:asciiTheme="minorHAnsi" w:eastAsia="Times New Roman" w:hAnsiTheme="minorHAnsi" w:cstheme="minorHAnsi"/>
          <w:color w:val="3D3B39"/>
          <w:lang w:eastAsia="it-IT"/>
        </w:rPr>
        <w:br/>
        <w:t xml:space="preserve">Visti tutti gli atti di causa; </w:t>
      </w:r>
      <w:r w:rsidRPr="008B3F4B">
        <w:rPr>
          <w:rFonts w:asciiTheme="minorHAnsi" w:eastAsia="Times New Roman" w:hAnsiTheme="minorHAnsi" w:cstheme="minorHAnsi"/>
          <w:color w:val="3D3B39"/>
          <w:lang w:eastAsia="it-IT"/>
        </w:rPr>
        <w:br/>
        <w:t xml:space="preserve">Relatore nell’udienza pubblica del giorno 27 marzo 2019 il dott. Richard </w:t>
      </w:r>
      <w:proofErr w:type="spellStart"/>
      <w:r w:rsidRPr="008B3F4B">
        <w:rPr>
          <w:rFonts w:asciiTheme="minorHAnsi" w:eastAsia="Times New Roman" w:hAnsiTheme="minorHAnsi" w:cstheme="minorHAnsi"/>
          <w:color w:val="3D3B39"/>
          <w:lang w:eastAsia="it-IT"/>
        </w:rPr>
        <w:t>Goso</w:t>
      </w:r>
      <w:proofErr w:type="spellEnd"/>
      <w:r w:rsidRPr="008B3F4B">
        <w:rPr>
          <w:rFonts w:asciiTheme="minorHAnsi" w:eastAsia="Times New Roman" w:hAnsiTheme="minorHAnsi" w:cstheme="minorHAnsi"/>
          <w:color w:val="3D3B39"/>
          <w:lang w:eastAsia="it-IT"/>
        </w:rPr>
        <w:t xml:space="preserve"> e uditi per le parti i difensori come specificato nel verbale; </w:t>
      </w:r>
      <w:r w:rsidRPr="008B3F4B">
        <w:rPr>
          <w:rFonts w:asciiTheme="minorHAnsi" w:eastAsia="Times New Roman" w:hAnsiTheme="minorHAnsi" w:cstheme="minorHAnsi"/>
          <w:color w:val="3D3B39"/>
          <w:lang w:eastAsia="it-IT"/>
        </w:rPr>
        <w:br/>
        <w:t xml:space="preserve">Ritenuto e considerato in fatto e diritto quanto segue. </w:t>
      </w:r>
    </w:p>
    <w:p w:rsidR="008B3F4B" w:rsidRPr="008B3F4B" w:rsidRDefault="008B3F4B" w:rsidP="008B3F4B">
      <w:pPr>
        <w:spacing w:after="265"/>
        <w:jc w:val="center"/>
        <w:rPr>
          <w:rFonts w:asciiTheme="minorHAnsi" w:eastAsia="Times New Roman" w:hAnsiTheme="minorHAnsi" w:cstheme="minorHAnsi"/>
          <w:color w:val="3D3B39"/>
          <w:lang w:eastAsia="it-IT"/>
        </w:rPr>
      </w:pPr>
      <w:r w:rsidRPr="008B3F4B">
        <w:rPr>
          <w:rFonts w:asciiTheme="minorHAnsi" w:eastAsia="Times New Roman" w:hAnsiTheme="minorHAnsi" w:cstheme="minorHAnsi"/>
          <w:b/>
          <w:bCs/>
          <w:color w:val="3D3B39"/>
          <w:lang w:eastAsia="it-IT"/>
        </w:rPr>
        <w:t xml:space="preserve">FATTO </w:t>
      </w:r>
    </w:p>
    <w:p w:rsidR="008B3F4B" w:rsidRPr="008B3F4B" w:rsidRDefault="008B3F4B" w:rsidP="008B3F4B">
      <w:pPr>
        <w:spacing w:after="265"/>
        <w:rPr>
          <w:rFonts w:asciiTheme="minorHAnsi" w:eastAsia="Times New Roman" w:hAnsiTheme="minorHAnsi" w:cstheme="minorHAnsi"/>
          <w:color w:val="3D3B39"/>
          <w:lang w:eastAsia="it-IT"/>
        </w:rPr>
      </w:pPr>
      <w:r w:rsidRPr="008B3F4B">
        <w:rPr>
          <w:rFonts w:asciiTheme="minorHAnsi" w:eastAsia="Times New Roman" w:hAnsiTheme="minorHAnsi" w:cstheme="minorHAnsi"/>
          <w:color w:val="3D3B39"/>
          <w:lang w:eastAsia="it-IT"/>
        </w:rPr>
        <w:t xml:space="preserve">L’OMISSIS ha indetto una procedura aperta volta alla conclusione di un accordo quadro con più operatori economici, ai sensi dell’art. 54, comma 4, </w:t>
      </w:r>
      <w:proofErr w:type="spellStart"/>
      <w:r w:rsidRPr="008B3F4B">
        <w:rPr>
          <w:rFonts w:asciiTheme="minorHAnsi" w:eastAsia="Times New Roman" w:hAnsiTheme="minorHAnsi" w:cstheme="minorHAnsi"/>
          <w:color w:val="3D3B39"/>
          <w:lang w:eastAsia="it-IT"/>
        </w:rPr>
        <w:t>lett</w:t>
      </w:r>
      <w:proofErr w:type="spellEnd"/>
      <w:r w:rsidRPr="008B3F4B">
        <w:rPr>
          <w:rFonts w:asciiTheme="minorHAnsi" w:eastAsia="Times New Roman" w:hAnsiTheme="minorHAnsi" w:cstheme="minorHAnsi"/>
          <w:color w:val="3D3B39"/>
          <w:lang w:eastAsia="it-IT"/>
        </w:rPr>
        <w:t xml:space="preserve">. a), del d.lgs. n. 50/2016, per l’affidamento della fornitura di protesi d’anca per un periodo di 36 mesi, con opzione di rinnovo per 12 mesi. </w:t>
      </w:r>
      <w:r w:rsidRPr="008B3F4B">
        <w:rPr>
          <w:rFonts w:asciiTheme="minorHAnsi" w:eastAsia="Times New Roman" w:hAnsiTheme="minorHAnsi" w:cstheme="minorHAnsi"/>
          <w:color w:val="3D3B39"/>
          <w:lang w:eastAsia="it-IT"/>
        </w:rPr>
        <w:br/>
        <w:t xml:space="preserve">La gara era suddivisa in 20 lotti. </w:t>
      </w:r>
      <w:r w:rsidRPr="008B3F4B">
        <w:rPr>
          <w:rFonts w:asciiTheme="minorHAnsi" w:eastAsia="Times New Roman" w:hAnsiTheme="minorHAnsi" w:cstheme="minorHAnsi"/>
          <w:color w:val="3D3B39"/>
          <w:lang w:eastAsia="it-IT"/>
        </w:rPr>
        <w:br/>
        <w:t>Il lotto n. 8 comprendeva protesi composte, tra l’altro, da uno “</w:t>
      </w:r>
      <w:r w:rsidRPr="008B3F4B">
        <w:rPr>
          <w:rFonts w:asciiTheme="minorHAnsi" w:eastAsia="Times New Roman" w:hAnsiTheme="minorHAnsi" w:cstheme="minorHAnsi"/>
          <w:i/>
          <w:iCs/>
          <w:color w:val="3D3B39"/>
          <w:lang w:eastAsia="it-IT"/>
        </w:rPr>
        <w:t>stelo retto a press-</w:t>
      </w:r>
      <w:proofErr w:type="spellStart"/>
      <w:r w:rsidRPr="008B3F4B">
        <w:rPr>
          <w:rFonts w:asciiTheme="minorHAnsi" w:eastAsia="Times New Roman" w:hAnsiTheme="minorHAnsi" w:cstheme="minorHAnsi"/>
          <w:i/>
          <w:iCs/>
          <w:color w:val="3D3B39"/>
          <w:lang w:eastAsia="it-IT"/>
        </w:rPr>
        <w:t>fit</w:t>
      </w:r>
      <w:proofErr w:type="spellEnd"/>
      <w:r w:rsidRPr="008B3F4B">
        <w:rPr>
          <w:rFonts w:asciiTheme="minorHAnsi" w:eastAsia="Times New Roman" w:hAnsiTheme="minorHAnsi" w:cstheme="minorHAnsi"/>
          <w:i/>
          <w:iCs/>
          <w:color w:val="3D3B39"/>
          <w:lang w:eastAsia="it-IT"/>
        </w:rPr>
        <w:t xml:space="preserve"> </w:t>
      </w:r>
      <w:proofErr w:type="spellStart"/>
      <w:r w:rsidRPr="008B3F4B">
        <w:rPr>
          <w:rFonts w:asciiTheme="minorHAnsi" w:eastAsia="Times New Roman" w:hAnsiTheme="minorHAnsi" w:cstheme="minorHAnsi"/>
          <w:i/>
          <w:iCs/>
          <w:color w:val="3D3B39"/>
          <w:lang w:eastAsia="it-IT"/>
        </w:rPr>
        <w:t>metafisario</w:t>
      </w:r>
      <w:proofErr w:type="spellEnd"/>
      <w:r w:rsidRPr="008B3F4B">
        <w:rPr>
          <w:rFonts w:asciiTheme="minorHAnsi" w:eastAsia="Times New Roman" w:hAnsiTheme="minorHAnsi" w:cstheme="minorHAnsi"/>
          <w:i/>
          <w:iCs/>
          <w:color w:val="3D3B39"/>
          <w:lang w:eastAsia="it-IT"/>
        </w:rPr>
        <w:t xml:space="preserve"> angolo 125°-145° tipo Spotorno o equivalenti</w:t>
      </w:r>
      <w:r w:rsidRPr="008B3F4B">
        <w:rPr>
          <w:rFonts w:asciiTheme="minorHAnsi" w:eastAsia="Times New Roman" w:hAnsiTheme="minorHAnsi" w:cstheme="minorHAnsi"/>
          <w:color w:val="3D3B39"/>
          <w:lang w:eastAsia="it-IT"/>
        </w:rPr>
        <w:t>” e da un “</w:t>
      </w:r>
      <w:r w:rsidRPr="008B3F4B">
        <w:rPr>
          <w:rFonts w:asciiTheme="minorHAnsi" w:eastAsia="Times New Roman" w:hAnsiTheme="minorHAnsi" w:cstheme="minorHAnsi"/>
          <w:i/>
          <w:iCs/>
          <w:color w:val="3D3B39"/>
          <w:lang w:eastAsia="it-IT"/>
        </w:rPr>
        <w:t>cotile a press-</w:t>
      </w:r>
      <w:proofErr w:type="spellStart"/>
      <w:r w:rsidRPr="008B3F4B">
        <w:rPr>
          <w:rFonts w:asciiTheme="minorHAnsi" w:eastAsia="Times New Roman" w:hAnsiTheme="minorHAnsi" w:cstheme="minorHAnsi"/>
          <w:i/>
          <w:iCs/>
          <w:color w:val="3D3B39"/>
          <w:lang w:eastAsia="it-IT"/>
        </w:rPr>
        <w:t>fit</w:t>
      </w:r>
      <w:proofErr w:type="spellEnd"/>
      <w:r w:rsidRPr="008B3F4B">
        <w:rPr>
          <w:rFonts w:asciiTheme="minorHAnsi" w:eastAsia="Times New Roman" w:hAnsiTheme="minorHAnsi" w:cstheme="minorHAnsi"/>
          <w:i/>
          <w:iCs/>
          <w:color w:val="3D3B39"/>
          <w:lang w:eastAsia="it-IT"/>
        </w:rPr>
        <w:t xml:space="preserve"> con metallo trabecolare</w:t>
      </w:r>
      <w:r w:rsidRPr="008B3F4B">
        <w:rPr>
          <w:rFonts w:asciiTheme="minorHAnsi" w:eastAsia="Times New Roman" w:hAnsiTheme="minorHAnsi" w:cstheme="minorHAnsi"/>
          <w:color w:val="3D3B39"/>
          <w:lang w:eastAsia="it-IT"/>
        </w:rPr>
        <w:t xml:space="preserve">”. </w:t>
      </w:r>
      <w:r w:rsidRPr="008B3F4B">
        <w:rPr>
          <w:rFonts w:asciiTheme="minorHAnsi" w:eastAsia="Times New Roman" w:hAnsiTheme="minorHAnsi" w:cstheme="minorHAnsi"/>
          <w:color w:val="3D3B39"/>
          <w:lang w:eastAsia="it-IT"/>
        </w:rPr>
        <w:br/>
        <w:t>Le caratteristiche dello stelo femorale (la parte metallica inserita nell’estremità superiore del femore), quindi, erano individuate con riferimento al “</w:t>
      </w:r>
      <w:r w:rsidRPr="008B3F4B">
        <w:rPr>
          <w:rFonts w:asciiTheme="minorHAnsi" w:eastAsia="Times New Roman" w:hAnsiTheme="minorHAnsi" w:cstheme="minorHAnsi"/>
          <w:i/>
          <w:iCs/>
          <w:color w:val="3D3B39"/>
          <w:lang w:eastAsia="it-IT"/>
        </w:rPr>
        <w:t>tipo Spotorno o equivalenti</w:t>
      </w:r>
      <w:r w:rsidRPr="008B3F4B">
        <w:rPr>
          <w:rFonts w:asciiTheme="minorHAnsi" w:eastAsia="Times New Roman" w:hAnsiTheme="minorHAnsi" w:cstheme="minorHAnsi"/>
          <w:color w:val="3D3B39"/>
          <w:lang w:eastAsia="it-IT"/>
        </w:rPr>
        <w:t xml:space="preserve">”; per il cotile (la parte superiore della protesi), si richiedeva la composizione con metallo trabecolare. </w:t>
      </w:r>
      <w:r w:rsidRPr="008B3F4B">
        <w:rPr>
          <w:rFonts w:asciiTheme="minorHAnsi" w:eastAsia="Times New Roman" w:hAnsiTheme="minorHAnsi" w:cstheme="minorHAnsi"/>
          <w:color w:val="3D3B39"/>
          <w:lang w:eastAsia="it-IT"/>
        </w:rPr>
        <w:br/>
        <w:t xml:space="preserve">Nella graduatoria formata all’esito dello scrutinio delle 8 offerte presentate per il lotto in questione, approvata con provvedimento del 27 luglio 2018, si classificava al primo posto OMISSIS S.r.l. </w:t>
      </w:r>
      <w:r w:rsidRPr="008B3F4B">
        <w:rPr>
          <w:rFonts w:asciiTheme="minorHAnsi" w:eastAsia="Times New Roman" w:hAnsiTheme="minorHAnsi" w:cstheme="minorHAnsi"/>
          <w:color w:val="3D3B39"/>
          <w:lang w:eastAsia="it-IT"/>
        </w:rPr>
        <w:br/>
        <w:t xml:space="preserve">Con nota del 19 settembre 2018, OMISSIS S.r.l., classificatasi al settimo posto della graduatoria, contestava </w:t>
      </w:r>
      <w:r w:rsidRPr="008B3F4B">
        <w:rPr>
          <w:rFonts w:asciiTheme="minorHAnsi" w:eastAsia="Times New Roman" w:hAnsiTheme="minorHAnsi" w:cstheme="minorHAnsi"/>
          <w:color w:val="3D3B39"/>
          <w:lang w:eastAsia="it-IT"/>
        </w:rPr>
        <w:lastRenderedPageBreak/>
        <w:t xml:space="preserve">l’esito della gara, </w:t>
      </w:r>
      <w:proofErr w:type="spellStart"/>
      <w:r w:rsidRPr="008B3F4B">
        <w:rPr>
          <w:rFonts w:asciiTheme="minorHAnsi" w:eastAsia="Times New Roman" w:hAnsiTheme="minorHAnsi" w:cstheme="minorHAnsi"/>
          <w:color w:val="3D3B39"/>
          <w:lang w:eastAsia="it-IT"/>
        </w:rPr>
        <w:t>asseritamente</w:t>
      </w:r>
      <w:proofErr w:type="spellEnd"/>
      <w:r w:rsidRPr="008B3F4B">
        <w:rPr>
          <w:rFonts w:asciiTheme="minorHAnsi" w:eastAsia="Times New Roman" w:hAnsiTheme="minorHAnsi" w:cstheme="minorHAnsi"/>
          <w:color w:val="3D3B39"/>
          <w:lang w:eastAsia="it-IT"/>
        </w:rPr>
        <w:t xml:space="preserve"> inficiata da errori procedurali e di valutazione delle offerte tecniche. </w:t>
      </w:r>
      <w:r w:rsidRPr="008B3F4B">
        <w:rPr>
          <w:rFonts w:asciiTheme="minorHAnsi" w:eastAsia="Times New Roman" w:hAnsiTheme="minorHAnsi" w:cstheme="minorHAnsi"/>
          <w:color w:val="3D3B39"/>
          <w:lang w:eastAsia="it-IT"/>
        </w:rPr>
        <w:br/>
      </w:r>
      <w:proofErr w:type="spellStart"/>
      <w:r w:rsidRPr="008B3F4B">
        <w:rPr>
          <w:rFonts w:asciiTheme="minorHAnsi" w:eastAsia="Times New Roman" w:hAnsiTheme="minorHAnsi" w:cstheme="minorHAnsi"/>
          <w:color w:val="3D3B39"/>
          <w:lang w:eastAsia="it-IT"/>
        </w:rPr>
        <w:t>A.Li.Sa</w:t>
      </w:r>
      <w:proofErr w:type="spellEnd"/>
      <w:r w:rsidRPr="008B3F4B">
        <w:rPr>
          <w:rFonts w:asciiTheme="minorHAnsi" w:eastAsia="Times New Roman" w:hAnsiTheme="minorHAnsi" w:cstheme="minorHAnsi"/>
          <w:color w:val="3D3B39"/>
          <w:lang w:eastAsia="it-IT"/>
        </w:rPr>
        <w:t xml:space="preserve">. respingeva il primo ordine di rilievi con nota del 24 settembre 2018, contestualmente comunicando di aver sottoposto alla Commissione giudicatrice le osservazioni di carattere tecnico. </w:t>
      </w:r>
      <w:r w:rsidRPr="008B3F4B">
        <w:rPr>
          <w:rFonts w:asciiTheme="minorHAnsi" w:eastAsia="Times New Roman" w:hAnsiTheme="minorHAnsi" w:cstheme="minorHAnsi"/>
          <w:color w:val="3D3B39"/>
          <w:lang w:eastAsia="it-IT"/>
        </w:rPr>
        <w:br/>
        <w:t>In attesa di un definitivo riscontro, con ricorso notificato il 1° ottobre 2018 e depositato il 19 ottobre successivo (</w:t>
      </w:r>
      <w:proofErr w:type="spellStart"/>
      <w:r w:rsidRPr="008B3F4B">
        <w:rPr>
          <w:rFonts w:asciiTheme="minorHAnsi" w:eastAsia="Times New Roman" w:hAnsiTheme="minorHAnsi" w:cstheme="minorHAnsi"/>
          <w:color w:val="3D3B39"/>
          <w:lang w:eastAsia="it-IT"/>
        </w:rPr>
        <w:t>r.g</w:t>
      </w:r>
      <w:proofErr w:type="spellEnd"/>
      <w:r w:rsidRPr="008B3F4B">
        <w:rPr>
          <w:rFonts w:asciiTheme="minorHAnsi" w:eastAsia="Times New Roman" w:hAnsiTheme="minorHAnsi" w:cstheme="minorHAnsi"/>
          <w:color w:val="3D3B39"/>
          <w:lang w:eastAsia="it-IT"/>
        </w:rPr>
        <w:t xml:space="preserve">. n. 654/2018), OMISSIS S.r.l. ha impugnato il provvedimento di aggiudicazione del lotto n. 8. </w:t>
      </w:r>
      <w:r w:rsidRPr="008B3F4B">
        <w:rPr>
          <w:rFonts w:asciiTheme="minorHAnsi" w:eastAsia="Times New Roman" w:hAnsiTheme="minorHAnsi" w:cstheme="minorHAnsi"/>
          <w:color w:val="3D3B39"/>
          <w:lang w:eastAsia="it-IT"/>
        </w:rPr>
        <w:br/>
        <w:t xml:space="preserve">Deduce la ricorrente, in buona sostanza, che tutte le offerte concorrenti avrebbero dovuto essere escluse, poiché non era stata dimostrata (e la Commissione non aveva accertato) l’equivalenza dei prodotti offerti rispetto al modello di riferimento (stelo tipo “Spotorno”) e al materiale richiesto per il cotile (metallo trabecolare). </w:t>
      </w:r>
      <w:r w:rsidRPr="008B3F4B">
        <w:rPr>
          <w:rFonts w:asciiTheme="minorHAnsi" w:eastAsia="Times New Roman" w:hAnsiTheme="minorHAnsi" w:cstheme="minorHAnsi"/>
          <w:color w:val="3D3B39"/>
          <w:lang w:eastAsia="it-IT"/>
        </w:rPr>
        <w:br/>
        <w:t xml:space="preserve">In ogni caso, i prodotti offerti dalle imprese meglio collocate in graduatoria sarebbero effettivamente privi delle caratteristiche tecniche richieste dalla documentazione di gara. </w:t>
      </w:r>
      <w:r w:rsidRPr="008B3F4B">
        <w:rPr>
          <w:rFonts w:asciiTheme="minorHAnsi" w:eastAsia="Times New Roman" w:hAnsiTheme="minorHAnsi" w:cstheme="minorHAnsi"/>
          <w:color w:val="3D3B39"/>
          <w:lang w:eastAsia="it-IT"/>
        </w:rPr>
        <w:br/>
        <w:t xml:space="preserve">Si costituiva in giudizio la </w:t>
      </w:r>
      <w:proofErr w:type="spellStart"/>
      <w:r w:rsidRPr="008B3F4B">
        <w:rPr>
          <w:rFonts w:asciiTheme="minorHAnsi" w:eastAsia="Times New Roman" w:hAnsiTheme="minorHAnsi" w:cstheme="minorHAnsi"/>
          <w:color w:val="3D3B39"/>
          <w:lang w:eastAsia="it-IT"/>
        </w:rPr>
        <w:t>controinteressata</w:t>
      </w:r>
      <w:proofErr w:type="spellEnd"/>
      <w:r w:rsidRPr="008B3F4B">
        <w:rPr>
          <w:rFonts w:asciiTheme="minorHAnsi" w:eastAsia="Times New Roman" w:hAnsiTheme="minorHAnsi" w:cstheme="minorHAnsi"/>
          <w:color w:val="3D3B39"/>
          <w:lang w:eastAsia="it-IT"/>
        </w:rPr>
        <w:t xml:space="preserve"> OMISSIS S.r.l., eccependo l’inammissibilità del ricorso, per carenza di interesse e per la genericità dei motivi di impugnazione, nonché la sua infondatezza nel merito. </w:t>
      </w:r>
      <w:r w:rsidRPr="008B3F4B">
        <w:rPr>
          <w:rFonts w:asciiTheme="minorHAnsi" w:eastAsia="Times New Roman" w:hAnsiTheme="minorHAnsi" w:cstheme="minorHAnsi"/>
          <w:color w:val="3D3B39"/>
          <w:lang w:eastAsia="it-IT"/>
        </w:rPr>
        <w:br/>
        <w:t xml:space="preserve">Nelle more del giudizio, con la determinazione n. 394 del 6 novembre 2018, </w:t>
      </w:r>
      <w:proofErr w:type="spellStart"/>
      <w:r w:rsidRPr="008B3F4B">
        <w:rPr>
          <w:rFonts w:asciiTheme="minorHAnsi" w:eastAsia="Times New Roman" w:hAnsiTheme="minorHAnsi" w:cstheme="minorHAnsi"/>
          <w:color w:val="3D3B39"/>
          <w:lang w:eastAsia="it-IT"/>
        </w:rPr>
        <w:t>A.Li.Sa</w:t>
      </w:r>
      <w:proofErr w:type="spellEnd"/>
      <w:r w:rsidRPr="008B3F4B">
        <w:rPr>
          <w:rFonts w:asciiTheme="minorHAnsi" w:eastAsia="Times New Roman" w:hAnsiTheme="minorHAnsi" w:cstheme="minorHAnsi"/>
          <w:color w:val="3D3B39"/>
          <w:lang w:eastAsia="it-IT"/>
        </w:rPr>
        <w:t xml:space="preserve">. ha annullato in autotutela l’impugnato provvedimento di aggiudicazione, ritenendo che fossero fondate le contestazioni di OMISSIS S.r.l., fatta eccezione per quelle mosse nei confronti del prodotto offerto da OMISSIS S.p.a. (già classificatasi al secondo posto della graduatoria). </w:t>
      </w:r>
      <w:r w:rsidRPr="008B3F4B">
        <w:rPr>
          <w:rFonts w:asciiTheme="minorHAnsi" w:eastAsia="Times New Roman" w:hAnsiTheme="minorHAnsi" w:cstheme="minorHAnsi"/>
          <w:color w:val="3D3B39"/>
          <w:lang w:eastAsia="it-IT"/>
        </w:rPr>
        <w:br/>
        <w:t xml:space="preserve">Con lo stesso provvedimento, è stata approvata la nuova graduatoria nella quale si collocano solo le offerte dell’aggiudicataria OMISSIS S.p.a. e di OMISSIS S.r.l. </w:t>
      </w:r>
      <w:r w:rsidRPr="008B3F4B">
        <w:rPr>
          <w:rFonts w:asciiTheme="minorHAnsi" w:eastAsia="Times New Roman" w:hAnsiTheme="minorHAnsi" w:cstheme="minorHAnsi"/>
          <w:color w:val="3D3B39"/>
          <w:lang w:eastAsia="it-IT"/>
        </w:rPr>
        <w:br/>
        <w:t xml:space="preserve">La seconda classificata ha impugnato la determinazione suddetta con ricorso per motivi aggiunti notificato il 6 dicembre 2018 e depositato il 18 dicembre successivo. </w:t>
      </w:r>
      <w:r w:rsidRPr="008B3F4B">
        <w:rPr>
          <w:rFonts w:asciiTheme="minorHAnsi" w:eastAsia="Times New Roman" w:hAnsiTheme="minorHAnsi" w:cstheme="minorHAnsi"/>
          <w:color w:val="3D3B39"/>
          <w:lang w:eastAsia="it-IT"/>
        </w:rPr>
        <w:br/>
        <w:t xml:space="preserve">I motivi aggiunti sono collocati sotto le seguenti rubriche: </w:t>
      </w:r>
      <w:r w:rsidRPr="008B3F4B">
        <w:rPr>
          <w:rFonts w:asciiTheme="minorHAnsi" w:eastAsia="Times New Roman" w:hAnsiTheme="minorHAnsi" w:cstheme="minorHAnsi"/>
          <w:color w:val="3D3B39"/>
          <w:lang w:eastAsia="it-IT"/>
        </w:rPr>
        <w:br/>
        <w:t>I) </w:t>
      </w:r>
      <w:r w:rsidRPr="008B3F4B">
        <w:rPr>
          <w:rFonts w:asciiTheme="minorHAnsi" w:eastAsia="Times New Roman" w:hAnsiTheme="minorHAnsi" w:cstheme="minorHAnsi"/>
          <w:i/>
          <w:iCs/>
          <w:color w:val="3D3B39"/>
          <w:lang w:eastAsia="it-IT"/>
        </w:rPr>
        <w:t>Violazione e falsa applicazione dell’articolo 68 del d.lgs. 50/2016. Violazione art. 6, lettera A e D, del Capitolato tecnico. Eccesso di potere per difetto di motivazione.</w:t>
      </w:r>
      <w:r w:rsidRPr="008B3F4B">
        <w:rPr>
          <w:rFonts w:asciiTheme="minorHAnsi" w:eastAsia="Times New Roman" w:hAnsiTheme="minorHAnsi" w:cstheme="minorHAnsi"/>
          <w:color w:val="3D3B39"/>
          <w:lang w:eastAsia="it-IT"/>
        </w:rPr>
        <w:t xml:space="preserve"> </w:t>
      </w:r>
      <w:r w:rsidRPr="008B3F4B">
        <w:rPr>
          <w:rFonts w:asciiTheme="minorHAnsi" w:eastAsia="Times New Roman" w:hAnsiTheme="minorHAnsi" w:cstheme="minorHAnsi"/>
          <w:color w:val="3D3B39"/>
          <w:lang w:eastAsia="it-IT"/>
        </w:rPr>
        <w:br/>
        <w:t xml:space="preserve">In mancanza di un’espressa dichiarazione di equivalenza del prodotto offerto e della documentazione attestante la sussistenza di tale condizione, l’offerta di OMISSIS S.p.a. (comunque inerente ad un prodotto effettivamente privo delle richieste caratteristiche tecniche) avrebbe dovuto essere esclusa dalla gara. </w:t>
      </w:r>
      <w:r w:rsidRPr="008B3F4B">
        <w:rPr>
          <w:rFonts w:asciiTheme="minorHAnsi" w:eastAsia="Times New Roman" w:hAnsiTheme="minorHAnsi" w:cstheme="minorHAnsi"/>
          <w:color w:val="3D3B39"/>
          <w:lang w:eastAsia="it-IT"/>
        </w:rPr>
        <w:br/>
        <w:t>II) </w:t>
      </w:r>
      <w:r w:rsidRPr="008B3F4B">
        <w:rPr>
          <w:rFonts w:asciiTheme="minorHAnsi" w:eastAsia="Times New Roman" w:hAnsiTheme="minorHAnsi" w:cstheme="minorHAnsi"/>
          <w:i/>
          <w:iCs/>
          <w:color w:val="3D3B39"/>
          <w:lang w:eastAsia="it-IT"/>
        </w:rPr>
        <w:t>Violazione e falsa applicazione art. 95, comma 15, del d.lgs. 50/2016. Violazione e falsa applicazione del Disciplinare di gara. Eccesso di potere per difetto di istruttoria e motivazione.</w:t>
      </w:r>
      <w:r w:rsidRPr="008B3F4B">
        <w:rPr>
          <w:rFonts w:asciiTheme="minorHAnsi" w:eastAsia="Times New Roman" w:hAnsiTheme="minorHAnsi" w:cstheme="minorHAnsi"/>
          <w:color w:val="3D3B39"/>
          <w:lang w:eastAsia="it-IT"/>
        </w:rPr>
        <w:t xml:space="preserve"> </w:t>
      </w:r>
      <w:r w:rsidRPr="008B3F4B">
        <w:rPr>
          <w:rFonts w:asciiTheme="minorHAnsi" w:eastAsia="Times New Roman" w:hAnsiTheme="minorHAnsi" w:cstheme="minorHAnsi"/>
          <w:color w:val="3D3B39"/>
          <w:lang w:eastAsia="it-IT"/>
        </w:rPr>
        <w:br/>
        <w:t xml:space="preserve">La riduzione del numero delle offerte ammesse a valutazione (da 8 a 2) avrebbe imposto il ricalcolo dei punteggi, non sussistendo nella fattispecie i presupposti per l’applicazione del principio di invarianza stabilito dall’art. 95, comma 15, del d.lgs. n. 50/2016: ciò avrebbe consentito alla ricorrente, che aveva conseguito il miglior punteggio per l’offerta tecnica, di aggiudicarsi la gara. </w:t>
      </w:r>
      <w:r w:rsidRPr="008B3F4B">
        <w:rPr>
          <w:rFonts w:asciiTheme="minorHAnsi" w:eastAsia="Times New Roman" w:hAnsiTheme="minorHAnsi" w:cstheme="minorHAnsi"/>
          <w:color w:val="3D3B39"/>
          <w:lang w:eastAsia="it-IT"/>
        </w:rPr>
        <w:br/>
        <w:t>In conclusione, la ricorrente insta per l’annullamento del provvedimento impugnato e per la declaratoria di inefficacia del contratto </w:t>
      </w:r>
      <w:r w:rsidRPr="008B3F4B">
        <w:rPr>
          <w:rFonts w:asciiTheme="minorHAnsi" w:eastAsia="Times New Roman" w:hAnsiTheme="minorHAnsi" w:cstheme="minorHAnsi"/>
          <w:i/>
          <w:iCs/>
          <w:color w:val="3D3B39"/>
          <w:lang w:eastAsia="it-IT"/>
        </w:rPr>
        <w:t>medio tempore</w:t>
      </w:r>
      <w:r w:rsidRPr="008B3F4B">
        <w:rPr>
          <w:rFonts w:asciiTheme="minorHAnsi" w:eastAsia="Times New Roman" w:hAnsiTheme="minorHAnsi" w:cstheme="minorHAnsi"/>
          <w:color w:val="3D3B39"/>
          <w:lang w:eastAsia="it-IT"/>
        </w:rPr>
        <w:t xml:space="preserve"> eventualmente stipulato ovvero, in subordine, per la condanna dell’Amministrazione al risarcimento dei danni per equivalente. </w:t>
      </w:r>
      <w:r w:rsidRPr="008B3F4B">
        <w:rPr>
          <w:rFonts w:asciiTheme="minorHAnsi" w:eastAsia="Times New Roman" w:hAnsiTheme="minorHAnsi" w:cstheme="minorHAnsi"/>
          <w:color w:val="3D3B39"/>
          <w:lang w:eastAsia="it-IT"/>
        </w:rPr>
        <w:br/>
        <w:t xml:space="preserve">Si costituiva in giudizio la stazione appaltante </w:t>
      </w:r>
      <w:proofErr w:type="spellStart"/>
      <w:r w:rsidRPr="008B3F4B">
        <w:rPr>
          <w:rFonts w:asciiTheme="minorHAnsi" w:eastAsia="Times New Roman" w:hAnsiTheme="minorHAnsi" w:cstheme="minorHAnsi"/>
          <w:color w:val="3D3B39"/>
          <w:lang w:eastAsia="it-IT"/>
        </w:rPr>
        <w:t>A.Li.Sa</w:t>
      </w:r>
      <w:proofErr w:type="spellEnd"/>
      <w:r w:rsidRPr="008B3F4B">
        <w:rPr>
          <w:rFonts w:asciiTheme="minorHAnsi" w:eastAsia="Times New Roman" w:hAnsiTheme="minorHAnsi" w:cstheme="minorHAnsi"/>
          <w:color w:val="3D3B39"/>
          <w:lang w:eastAsia="it-IT"/>
        </w:rPr>
        <w:t xml:space="preserve">., opponendosi all’accoglimento del ricorso introduttivo e dei motivi aggiunti in quanto infondati nel merito. </w:t>
      </w:r>
      <w:r w:rsidRPr="008B3F4B">
        <w:rPr>
          <w:rFonts w:asciiTheme="minorHAnsi" w:eastAsia="Times New Roman" w:hAnsiTheme="minorHAnsi" w:cstheme="minorHAnsi"/>
          <w:color w:val="3D3B39"/>
          <w:lang w:eastAsia="it-IT"/>
        </w:rPr>
        <w:br/>
        <w:t xml:space="preserve">La </w:t>
      </w:r>
      <w:proofErr w:type="spellStart"/>
      <w:r w:rsidRPr="008B3F4B">
        <w:rPr>
          <w:rFonts w:asciiTheme="minorHAnsi" w:eastAsia="Times New Roman" w:hAnsiTheme="minorHAnsi" w:cstheme="minorHAnsi"/>
          <w:color w:val="3D3B39"/>
          <w:lang w:eastAsia="it-IT"/>
        </w:rPr>
        <w:t>controinteressata</w:t>
      </w:r>
      <w:proofErr w:type="spellEnd"/>
      <w:r w:rsidRPr="008B3F4B">
        <w:rPr>
          <w:rFonts w:asciiTheme="minorHAnsi" w:eastAsia="Times New Roman" w:hAnsiTheme="minorHAnsi" w:cstheme="minorHAnsi"/>
          <w:color w:val="3D3B39"/>
          <w:lang w:eastAsia="it-IT"/>
        </w:rPr>
        <w:t xml:space="preserve"> OMISSIS S.r.l. ha depositato una memoria con cui eccepisce l’inammissibilità del ricorso per motivi aggiunti e l’infondatezza delle censure ivi proposte. </w:t>
      </w:r>
      <w:r w:rsidRPr="008B3F4B">
        <w:rPr>
          <w:rFonts w:asciiTheme="minorHAnsi" w:eastAsia="Times New Roman" w:hAnsiTheme="minorHAnsi" w:cstheme="minorHAnsi"/>
          <w:color w:val="3D3B39"/>
          <w:lang w:eastAsia="it-IT"/>
        </w:rPr>
        <w:br/>
        <w:t xml:space="preserve">Con l’ordinanza n. 15 del 16 gennaio 2019, è stata accolta l’istanza cautelare accedente al ricorso per motivi aggiunti e fissata l’udienza per la trattazione di merito. </w:t>
      </w:r>
      <w:r w:rsidRPr="008B3F4B">
        <w:rPr>
          <w:rFonts w:asciiTheme="minorHAnsi" w:eastAsia="Times New Roman" w:hAnsiTheme="minorHAnsi" w:cstheme="minorHAnsi"/>
          <w:color w:val="3D3B39"/>
          <w:lang w:eastAsia="it-IT"/>
        </w:rPr>
        <w:br/>
        <w:t>Nelle more, il nuovo provvedimento di aggiudicazione era stato impugnato anche da OMISSIS S.r.l. (classificatasi al primo posto della graduatoria annullata in autotutela ed esclusa da quella definitivamente approvata) con ricorso notificato il 21 novembre 2018 e depositato il 29 novembre successivo (</w:t>
      </w:r>
      <w:proofErr w:type="spellStart"/>
      <w:r w:rsidRPr="008B3F4B">
        <w:rPr>
          <w:rFonts w:asciiTheme="minorHAnsi" w:eastAsia="Times New Roman" w:hAnsiTheme="minorHAnsi" w:cstheme="minorHAnsi"/>
          <w:color w:val="3D3B39"/>
          <w:lang w:eastAsia="it-IT"/>
        </w:rPr>
        <w:t>r.g</w:t>
      </w:r>
      <w:proofErr w:type="spellEnd"/>
      <w:r w:rsidRPr="008B3F4B">
        <w:rPr>
          <w:rFonts w:asciiTheme="minorHAnsi" w:eastAsia="Times New Roman" w:hAnsiTheme="minorHAnsi" w:cstheme="minorHAnsi"/>
          <w:color w:val="3D3B39"/>
          <w:lang w:eastAsia="it-IT"/>
        </w:rPr>
        <w:t xml:space="preserve">. n. 800/2018). </w:t>
      </w:r>
      <w:r w:rsidRPr="008B3F4B">
        <w:rPr>
          <w:rFonts w:asciiTheme="minorHAnsi" w:eastAsia="Times New Roman" w:hAnsiTheme="minorHAnsi" w:cstheme="minorHAnsi"/>
          <w:color w:val="3D3B39"/>
          <w:lang w:eastAsia="it-IT"/>
        </w:rPr>
        <w:br/>
        <w:t xml:space="preserve">Questi i motivi di gravame: </w:t>
      </w:r>
      <w:r w:rsidRPr="008B3F4B">
        <w:rPr>
          <w:rFonts w:asciiTheme="minorHAnsi" w:eastAsia="Times New Roman" w:hAnsiTheme="minorHAnsi" w:cstheme="minorHAnsi"/>
          <w:color w:val="3D3B39"/>
          <w:lang w:eastAsia="it-IT"/>
        </w:rPr>
        <w:br/>
        <w:t>I) </w:t>
      </w:r>
      <w:r w:rsidRPr="008B3F4B">
        <w:rPr>
          <w:rFonts w:asciiTheme="minorHAnsi" w:eastAsia="Times New Roman" w:hAnsiTheme="minorHAnsi" w:cstheme="minorHAnsi"/>
          <w:i/>
          <w:iCs/>
          <w:color w:val="3D3B39"/>
          <w:lang w:eastAsia="it-IT"/>
        </w:rPr>
        <w:t xml:space="preserve">Violazione e falsa applicazione degli artt. 3, 7, 21 </w:t>
      </w:r>
      <w:proofErr w:type="spellStart"/>
      <w:r w:rsidRPr="008B3F4B">
        <w:rPr>
          <w:rFonts w:asciiTheme="minorHAnsi" w:eastAsia="Times New Roman" w:hAnsiTheme="minorHAnsi" w:cstheme="minorHAnsi"/>
          <w:i/>
          <w:iCs/>
          <w:color w:val="3D3B39"/>
          <w:lang w:eastAsia="it-IT"/>
        </w:rPr>
        <w:t>nonies</w:t>
      </w:r>
      <w:proofErr w:type="spellEnd"/>
      <w:r w:rsidRPr="008B3F4B">
        <w:rPr>
          <w:rFonts w:asciiTheme="minorHAnsi" w:eastAsia="Times New Roman" w:hAnsiTheme="minorHAnsi" w:cstheme="minorHAnsi"/>
          <w:i/>
          <w:iCs/>
          <w:color w:val="3D3B39"/>
          <w:lang w:eastAsia="it-IT"/>
        </w:rPr>
        <w:t xml:space="preserve"> della l. n. 241/1990. Inosservanza dei principi di partecipazione al procedimento amministrativo e del contraddittorio. Violazione e falsa applicazione dell’art. 97 </w:t>
      </w:r>
      <w:proofErr w:type="spellStart"/>
      <w:r w:rsidRPr="008B3F4B">
        <w:rPr>
          <w:rFonts w:asciiTheme="minorHAnsi" w:eastAsia="Times New Roman" w:hAnsiTheme="minorHAnsi" w:cstheme="minorHAnsi"/>
          <w:i/>
          <w:iCs/>
          <w:color w:val="3D3B39"/>
          <w:lang w:eastAsia="it-IT"/>
        </w:rPr>
        <w:t>Cost</w:t>
      </w:r>
      <w:proofErr w:type="spellEnd"/>
      <w:r w:rsidRPr="008B3F4B">
        <w:rPr>
          <w:rFonts w:asciiTheme="minorHAnsi" w:eastAsia="Times New Roman" w:hAnsiTheme="minorHAnsi" w:cstheme="minorHAnsi"/>
          <w:i/>
          <w:iCs/>
          <w:color w:val="3D3B39"/>
          <w:lang w:eastAsia="it-IT"/>
        </w:rPr>
        <w:t>.</w:t>
      </w:r>
      <w:r w:rsidRPr="008B3F4B">
        <w:rPr>
          <w:rFonts w:asciiTheme="minorHAnsi" w:eastAsia="Times New Roman" w:hAnsiTheme="minorHAnsi" w:cstheme="minorHAnsi"/>
          <w:color w:val="3D3B39"/>
          <w:lang w:eastAsia="it-IT"/>
        </w:rPr>
        <w:t xml:space="preserve"> </w:t>
      </w:r>
      <w:r w:rsidRPr="008B3F4B">
        <w:rPr>
          <w:rFonts w:asciiTheme="minorHAnsi" w:eastAsia="Times New Roman" w:hAnsiTheme="minorHAnsi" w:cstheme="minorHAnsi"/>
          <w:color w:val="3D3B39"/>
          <w:lang w:eastAsia="it-IT"/>
        </w:rPr>
        <w:br/>
        <w:t>II) </w:t>
      </w:r>
      <w:r w:rsidRPr="008B3F4B">
        <w:rPr>
          <w:rFonts w:asciiTheme="minorHAnsi" w:eastAsia="Times New Roman" w:hAnsiTheme="minorHAnsi" w:cstheme="minorHAnsi"/>
          <w:i/>
          <w:iCs/>
          <w:color w:val="3D3B39"/>
          <w:lang w:eastAsia="it-IT"/>
        </w:rPr>
        <w:t xml:space="preserve">Violazione e falsa applicazione degli artt. 3, 7, 21 </w:t>
      </w:r>
      <w:proofErr w:type="spellStart"/>
      <w:r w:rsidRPr="008B3F4B">
        <w:rPr>
          <w:rFonts w:asciiTheme="minorHAnsi" w:eastAsia="Times New Roman" w:hAnsiTheme="minorHAnsi" w:cstheme="minorHAnsi"/>
          <w:i/>
          <w:iCs/>
          <w:color w:val="3D3B39"/>
          <w:lang w:eastAsia="it-IT"/>
        </w:rPr>
        <w:t>nonies</w:t>
      </w:r>
      <w:proofErr w:type="spellEnd"/>
      <w:r w:rsidRPr="008B3F4B">
        <w:rPr>
          <w:rFonts w:asciiTheme="minorHAnsi" w:eastAsia="Times New Roman" w:hAnsiTheme="minorHAnsi" w:cstheme="minorHAnsi"/>
          <w:i/>
          <w:iCs/>
          <w:color w:val="3D3B39"/>
          <w:lang w:eastAsia="it-IT"/>
        </w:rPr>
        <w:t xml:space="preserve"> della l. n. 241/1990. Inosservanza dei principi di partecipazione al procedimento amministrativo e del contraddittorio. Violazione e falsa applicazione dell’art. 97 </w:t>
      </w:r>
      <w:proofErr w:type="spellStart"/>
      <w:r w:rsidRPr="008B3F4B">
        <w:rPr>
          <w:rFonts w:asciiTheme="minorHAnsi" w:eastAsia="Times New Roman" w:hAnsiTheme="minorHAnsi" w:cstheme="minorHAnsi"/>
          <w:i/>
          <w:iCs/>
          <w:color w:val="3D3B39"/>
          <w:lang w:eastAsia="it-IT"/>
        </w:rPr>
        <w:t>Cost</w:t>
      </w:r>
      <w:proofErr w:type="spellEnd"/>
      <w:r w:rsidRPr="008B3F4B">
        <w:rPr>
          <w:rFonts w:asciiTheme="minorHAnsi" w:eastAsia="Times New Roman" w:hAnsiTheme="minorHAnsi" w:cstheme="minorHAnsi"/>
          <w:i/>
          <w:iCs/>
          <w:color w:val="3D3B39"/>
          <w:lang w:eastAsia="it-IT"/>
        </w:rPr>
        <w:t>. Difetto di motivazione. Illogicità. Travisamento dei fatti presupposti.</w:t>
      </w:r>
      <w:r w:rsidRPr="008B3F4B">
        <w:rPr>
          <w:rFonts w:asciiTheme="minorHAnsi" w:eastAsia="Times New Roman" w:hAnsiTheme="minorHAnsi" w:cstheme="minorHAnsi"/>
          <w:color w:val="3D3B39"/>
          <w:lang w:eastAsia="it-IT"/>
        </w:rPr>
        <w:t xml:space="preserve"> </w:t>
      </w:r>
      <w:r w:rsidRPr="008B3F4B">
        <w:rPr>
          <w:rFonts w:asciiTheme="minorHAnsi" w:eastAsia="Times New Roman" w:hAnsiTheme="minorHAnsi" w:cstheme="minorHAnsi"/>
          <w:color w:val="3D3B39"/>
          <w:lang w:eastAsia="it-IT"/>
        </w:rPr>
        <w:br/>
      </w:r>
      <w:r w:rsidRPr="008B3F4B">
        <w:rPr>
          <w:rFonts w:asciiTheme="minorHAnsi" w:eastAsia="Times New Roman" w:hAnsiTheme="minorHAnsi" w:cstheme="minorHAnsi"/>
          <w:color w:val="3D3B39"/>
          <w:lang w:eastAsia="it-IT"/>
        </w:rPr>
        <w:lastRenderedPageBreak/>
        <w:t>III) </w:t>
      </w:r>
      <w:r w:rsidRPr="008B3F4B">
        <w:rPr>
          <w:rFonts w:asciiTheme="minorHAnsi" w:eastAsia="Times New Roman" w:hAnsiTheme="minorHAnsi" w:cstheme="minorHAnsi"/>
          <w:i/>
          <w:iCs/>
          <w:color w:val="3D3B39"/>
          <w:lang w:eastAsia="it-IT"/>
        </w:rPr>
        <w:t xml:space="preserve">Violazione e falsa applicazione degli artt. 3, 7, 21 </w:t>
      </w:r>
      <w:proofErr w:type="spellStart"/>
      <w:r w:rsidRPr="008B3F4B">
        <w:rPr>
          <w:rFonts w:asciiTheme="minorHAnsi" w:eastAsia="Times New Roman" w:hAnsiTheme="minorHAnsi" w:cstheme="minorHAnsi"/>
          <w:i/>
          <w:iCs/>
          <w:color w:val="3D3B39"/>
          <w:lang w:eastAsia="it-IT"/>
        </w:rPr>
        <w:t>nonies</w:t>
      </w:r>
      <w:proofErr w:type="spellEnd"/>
      <w:r w:rsidRPr="008B3F4B">
        <w:rPr>
          <w:rFonts w:asciiTheme="minorHAnsi" w:eastAsia="Times New Roman" w:hAnsiTheme="minorHAnsi" w:cstheme="minorHAnsi"/>
          <w:i/>
          <w:iCs/>
          <w:color w:val="3D3B39"/>
          <w:lang w:eastAsia="it-IT"/>
        </w:rPr>
        <w:t xml:space="preserve"> della l. n. 241/1990. Violazione e falsa applicazione dell’art. 97 </w:t>
      </w:r>
      <w:proofErr w:type="spellStart"/>
      <w:r w:rsidRPr="008B3F4B">
        <w:rPr>
          <w:rFonts w:asciiTheme="minorHAnsi" w:eastAsia="Times New Roman" w:hAnsiTheme="minorHAnsi" w:cstheme="minorHAnsi"/>
          <w:i/>
          <w:iCs/>
          <w:color w:val="3D3B39"/>
          <w:lang w:eastAsia="it-IT"/>
        </w:rPr>
        <w:t>Cost</w:t>
      </w:r>
      <w:proofErr w:type="spellEnd"/>
      <w:r w:rsidRPr="008B3F4B">
        <w:rPr>
          <w:rFonts w:asciiTheme="minorHAnsi" w:eastAsia="Times New Roman" w:hAnsiTheme="minorHAnsi" w:cstheme="minorHAnsi"/>
          <w:i/>
          <w:iCs/>
          <w:color w:val="3D3B39"/>
          <w:lang w:eastAsia="it-IT"/>
        </w:rPr>
        <w:t>. Difetto di motivazione. Illogicità. Travisamento dei fatti presupposti. Sotto ulteriore profilo.</w:t>
      </w:r>
      <w:r w:rsidRPr="008B3F4B">
        <w:rPr>
          <w:rFonts w:asciiTheme="minorHAnsi" w:eastAsia="Times New Roman" w:hAnsiTheme="minorHAnsi" w:cstheme="minorHAnsi"/>
          <w:color w:val="3D3B39"/>
          <w:lang w:eastAsia="it-IT"/>
        </w:rPr>
        <w:t xml:space="preserve"> </w:t>
      </w:r>
      <w:r w:rsidRPr="008B3F4B">
        <w:rPr>
          <w:rFonts w:asciiTheme="minorHAnsi" w:eastAsia="Times New Roman" w:hAnsiTheme="minorHAnsi" w:cstheme="minorHAnsi"/>
          <w:color w:val="3D3B39"/>
          <w:lang w:eastAsia="it-IT"/>
        </w:rPr>
        <w:br/>
        <w:t>IV) </w:t>
      </w:r>
      <w:r w:rsidRPr="008B3F4B">
        <w:rPr>
          <w:rFonts w:asciiTheme="minorHAnsi" w:eastAsia="Times New Roman" w:hAnsiTheme="minorHAnsi" w:cstheme="minorHAnsi"/>
          <w:i/>
          <w:iCs/>
          <w:color w:val="3D3B39"/>
          <w:lang w:eastAsia="it-IT"/>
        </w:rPr>
        <w:t xml:space="preserve">Violazione e falsa applicazione degli artt. 3 e 7 della l. n. 241/1990. Violazione e falsa applicazione dell’art. 97 </w:t>
      </w:r>
      <w:proofErr w:type="spellStart"/>
      <w:r w:rsidRPr="008B3F4B">
        <w:rPr>
          <w:rFonts w:asciiTheme="minorHAnsi" w:eastAsia="Times New Roman" w:hAnsiTheme="minorHAnsi" w:cstheme="minorHAnsi"/>
          <w:i/>
          <w:iCs/>
          <w:color w:val="3D3B39"/>
          <w:lang w:eastAsia="it-IT"/>
        </w:rPr>
        <w:t>Cost</w:t>
      </w:r>
      <w:proofErr w:type="spellEnd"/>
      <w:r w:rsidRPr="008B3F4B">
        <w:rPr>
          <w:rFonts w:asciiTheme="minorHAnsi" w:eastAsia="Times New Roman" w:hAnsiTheme="minorHAnsi" w:cstheme="minorHAnsi"/>
          <w:i/>
          <w:iCs/>
          <w:color w:val="3D3B39"/>
          <w:lang w:eastAsia="it-IT"/>
        </w:rPr>
        <w:t>. Inosservanza dei principi di partecipazione al procedimento amministrativo e del contraddittorio. Violazione del principio di tassatività dei casi di esclusione e del procedimento trasparente da parte della P.A. Violazione e falsa applicazione dell’art. 68 del d.lgs. 50/2016. Travisamento dei presupposti di fatto e diritto. Macroscopica illogicità e contraddittorietà dell’operato della pubblica amministrazione.</w:t>
      </w:r>
      <w:r w:rsidRPr="008B3F4B">
        <w:rPr>
          <w:rFonts w:asciiTheme="minorHAnsi" w:eastAsia="Times New Roman" w:hAnsiTheme="minorHAnsi" w:cstheme="minorHAnsi"/>
          <w:color w:val="3D3B39"/>
          <w:lang w:eastAsia="it-IT"/>
        </w:rPr>
        <w:t xml:space="preserve"> </w:t>
      </w:r>
      <w:r w:rsidRPr="008B3F4B">
        <w:rPr>
          <w:rFonts w:asciiTheme="minorHAnsi" w:eastAsia="Times New Roman" w:hAnsiTheme="minorHAnsi" w:cstheme="minorHAnsi"/>
          <w:color w:val="3D3B39"/>
          <w:lang w:eastAsia="it-IT"/>
        </w:rPr>
        <w:br/>
        <w:t>V)</w:t>
      </w:r>
      <w:r w:rsidRPr="008B3F4B">
        <w:rPr>
          <w:rFonts w:asciiTheme="minorHAnsi" w:eastAsia="Times New Roman" w:hAnsiTheme="minorHAnsi" w:cstheme="minorHAnsi"/>
          <w:i/>
          <w:iCs/>
          <w:color w:val="3D3B39"/>
          <w:lang w:eastAsia="it-IT"/>
        </w:rPr>
        <w:t> Violazione e falsa applicazione dell’art. 83 del d.lgs. 50/2016. Violazione del principio di tassatività delle clausole di esclusione. Violazione del principio di affidamento, del principio di par condicio e di trasparenza dell’operato della pubblica amministrazione.</w:t>
      </w:r>
      <w:r w:rsidRPr="008B3F4B">
        <w:rPr>
          <w:rFonts w:asciiTheme="minorHAnsi" w:eastAsia="Times New Roman" w:hAnsiTheme="minorHAnsi" w:cstheme="minorHAnsi"/>
          <w:color w:val="3D3B39"/>
          <w:lang w:eastAsia="it-IT"/>
        </w:rPr>
        <w:t xml:space="preserve"> </w:t>
      </w:r>
      <w:r w:rsidRPr="008B3F4B">
        <w:rPr>
          <w:rFonts w:asciiTheme="minorHAnsi" w:eastAsia="Times New Roman" w:hAnsiTheme="minorHAnsi" w:cstheme="minorHAnsi"/>
          <w:color w:val="3D3B39"/>
          <w:lang w:eastAsia="it-IT"/>
        </w:rPr>
        <w:br/>
        <w:t>VI) </w:t>
      </w:r>
      <w:r w:rsidRPr="008B3F4B">
        <w:rPr>
          <w:rFonts w:asciiTheme="minorHAnsi" w:eastAsia="Times New Roman" w:hAnsiTheme="minorHAnsi" w:cstheme="minorHAnsi"/>
          <w:i/>
          <w:iCs/>
          <w:color w:val="3D3B39"/>
          <w:lang w:eastAsia="it-IT"/>
        </w:rPr>
        <w:t xml:space="preserve">Violazione e falsa applicazione degli artt. 3, 7, 21 </w:t>
      </w:r>
      <w:proofErr w:type="spellStart"/>
      <w:r w:rsidRPr="008B3F4B">
        <w:rPr>
          <w:rFonts w:asciiTheme="minorHAnsi" w:eastAsia="Times New Roman" w:hAnsiTheme="minorHAnsi" w:cstheme="minorHAnsi"/>
          <w:i/>
          <w:iCs/>
          <w:color w:val="3D3B39"/>
          <w:lang w:eastAsia="it-IT"/>
        </w:rPr>
        <w:t>nonies</w:t>
      </w:r>
      <w:proofErr w:type="spellEnd"/>
      <w:r w:rsidRPr="008B3F4B">
        <w:rPr>
          <w:rFonts w:asciiTheme="minorHAnsi" w:eastAsia="Times New Roman" w:hAnsiTheme="minorHAnsi" w:cstheme="minorHAnsi"/>
          <w:i/>
          <w:iCs/>
          <w:color w:val="3D3B39"/>
          <w:lang w:eastAsia="it-IT"/>
        </w:rPr>
        <w:t xml:space="preserve"> della l. n. 241/1990. Violazione e falsa applicazione dell’art. 97 </w:t>
      </w:r>
      <w:proofErr w:type="spellStart"/>
      <w:r w:rsidRPr="008B3F4B">
        <w:rPr>
          <w:rFonts w:asciiTheme="minorHAnsi" w:eastAsia="Times New Roman" w:hAnsiTheme="minorHAnsi" w:cstheme="minorHAnsi"/>
          <w:i/>
          <w:iCs/>
          <w:color w:val="3D3B39"/>
          <w:lang w:eastAsia="it-IT"/>
        </w:rPr>
        <w:t>Cost</w:t>
      </w:r>
      <w:proofErr w:type="spellEnd"/>
      <w:r w:rsidRPr="008B3F4B">
        <w:rPr>
          <w:rFonts w:asciiTheme="minorHAnsi" w:eastAsia="Times New Roman" w:hAnsiTheme="minorHAnsi" w:cstheme="minorHAnsi"/>
          <w:i/>
          <w:iCs/>
          <w:color w:val="3D3B39"/>
          <w:lang w:eastAsia="it-IT"/>
        </w:rPr>
        <w:t>. Difetto di motivazione. Illogicità. Travisamento dei fatti presupposti. Contraddittorietà.</w:t>
      </w:r>
      <w:r w:rsidRPr="008B3F4B">
        <w:rPr>
          <w:rFonts w:asciiTheme="minorHAnsi" w:eastAsia="Times New Roman" w:hAnsiTheme="minorHAnsi" w:cstheme="minorHAnsi"/>
          <w:color w:val="3D3B39"/>
          <w:lang w:eastAsia="it-IT"/>
        </w:rPr>
        <w:t xml:space="preserve"> </w:t>
      </w:r>
      <w:r w:rsidRPr="008B3F4B">
        <w:rPr>
          <w:rFonts w:asciiTheme="minorHAnsi" w:eastAsia="Times New Roman" w:hAnsiTheme="minorHAnsi" w:cstheme="minorHAnsi"/>
          <w:color w:val="3D3B39"/>
          <w:lang w:eastAsia="it-IT"/>
        </w:rPr>
        <w:br/>
        <w:t xml:space="preserve">In buona sostanza, l’esponente denuncia l’omessa comunicazione di avvio del procedimento volto all’annullamento in autotutela dell’aggiudicazione e alla formazione di una nuova graduatoria nonché l’infondatezza delle ragioni poste a fondamento della sua esclusione. </w:t>
      </w:r>
      <w:r w:rsidRPr="008B3F4B">
        <w:rPr>
          <w:rFonts w:asciiTheme="minorHAnsi" w:eastAsia="Times New Roman" w:hAnsiTheme="minorHAnsi" w:cstheme="minorHAnsi"/>
          <w:color w:val="3D3B39"/>
          <w:lang w:eastAsia="it-IT"/>
        </w:rPr>
        <w:br/>
        <w:t xml:space="preserve">Essa insta, in conclusione, per l’annullamento del provvedimento impugnato e per la declaratoria di inefficacia del contratto eventualmente stipulato. </w:t>
      </w:r>
      <w:r w:rsidRPr="008B3F4B">
        <w:rPr>
          <w:rFonts w:asciiTheme="minorHAnsi" w:eastAsia="Times New Roman" w:hAnsiTheme="minorHAnsi" w:cstheme="minorHAnsi"/>
          <w:color w:val="3D3B39"/>
          <w:lang w:eastAsia="it-IT"/>
        </w:rPr>
        <w:br/>
        <w:t xml:space="preserve">Resistono al ricorso la stazione appaltante </w:t>
      </w:r>
      <w:proofErr w:type="spellStart"/>
      <w:r w:rsidRPr="008B3F4B">
        <w:rPr>
          <w:rFonts w:asciiTheme="minorHAnsi" w:eastAsia="Times New Roman" w:hAnsiTheme="minorHAnsi" w:cstheme="minorHAnsi"/>
          <w:color w:val="3D3B39"/>
          <w:lang w:eastAsia="it-IT"/>
        </w:rPr>
        <w:t>A.Li.Sa</w:t>
      </w:r>
      <w:proofErr w:type="spellEnd"/>
      <w:r w:rsidRPr="008B3F4B">
        <w:rPr>
          <w:rFonts w:asciiTheme="minorHAnsi" w:eastAsia="Times New Roman" w:hAnsiTheme="minorHAnsi" w:cstheme="minorHAnsi"/>
          <w:color w:val="3D3B39"/>
          <w:lang w:eastAsia="it-IT"/>
        </w:rPr>
        <w:t xml:space="preserve">. e le Società </w:t>
      </w:r>
      <w:proofErr w:type="spellStart"/>
      <w:r w:rsidRPr="008B3F4B">
        <w:rPr>
          <w:rFonts w:asciiTheme="minorHAnsi" w:eastAsia="Times New Roman" w:hAnsiTheme="minorHAnsi" w:cstheme="minorHAnsi"/>
          <w:color w:val="3D3B39"/>
          <w:lang w:eastAsia="it-IT"/>
        </w:rPr>
        <w:t>controinteressate</w:t>
      </w:r>
      <w:proofErr w:type="spellEnd"/>
      <w:r w:rsidRPr="008B3F4B">
        <w:rPr>
          <w:rFonts w:asciiTheme="minorHAnsi" w:eastAsia="Times New Roman" w:hAnsiTheme="minorHAnsi" w:cstheme="minorHAnsi"/>
          <w:color w:val="3D3B39"/>
          <w:lang w:eastAsia="it-IT"/>
        </w:rPr>
        <w:t xml:space="preserve">, tutte argomentando nel senso dell’infondatezza delle censure di controparte. </w:t>
      </w:r>
      <w:r w:rsidRPr="008B3F4B">
        <w:rPr>
          <w:rFonts w:asciiTheme="minorHAnsi" w:eastAsia="Times New Roman" w:hAnsiTheme="minorHAnsi" w:cstheme="minorHAnsi"/>
          <w:color w:val="3D3B39"/>
          <w:lang w:eastAsia="it-IT"/>
        </w:rPr>
        <w:br/>
        <w:t xml:space="preserve">Con l’ordinanza n. 19 del 16 gennaio 2019, è stata accolta l’istanza cautelare incidentalmente proposta con il ricorso n. 800/2018 e fissata l’udienza per la trattazione di merito, congiuntamente al ricorso n. 654/2018. </w:t>
      </w:r>
      <w:r w:rsidRPr="008B3F4B">
        <w:rPr>
          <w:rFonts w:asciiTheme="minorHAnsi" w:eastAsia="Times New Roman" w:hAnsiTheme="minorHAnsi" w:cstheme="minorHAnsi"/>
          <w:color w:val="3D3B39"/>
          <w:lang w:eastAsia="it-IT"/>
        </w:rPr>
        <w:br/>
        <w:t xml:space="preserve">Le parti in causa hanno depositato memorie difensive e di replica nei due giudizi. </w:t>
      </w:r>
      <w:r w:rsidRPr="008B3F4B">
        <w:rPr>
          <w:rFonts w:asciiTheme="minorHAnsi" w:eastAsia="Times New Roman" w:hAnsiTheme="minorHAnsi" w:cstheme="minorHAnsi"/>
          <w:color w:val="3D3B39"/>
          <w:lang w:eastAsia="it-IT"/>
        </w:rPr>
        <w:br/>
        <w:t xml:space="preserve">I ricorsi, infine, sono stati chiamati alla pubblica udienza del 27 marzo 2019 e, previa trattazione orale congiunta, sono stati trattenuti dal Collegio per la decisione. </w:t>
      </w:r>
    </w:p>
    <w:p w:rsidR="008B3F4B" w:rsidRPr="008B3F4B" w:rsidRDefault="008B3F4B" w:rsidP="008B3F4B">
      <w:pPr>
        <w:spacing w:after="265"/>
        <w:jc w:val="center"/>
        <w:rPr>
          <w:rFonts w:asciiTheme="minorHAnsi" w:eastAsia="Times New Roman" w:hAnsiTheme="minorHAnsi" w:cstheme="minorHAnsi"/>
          <w:color w:val="3D3B39"/>
          <w:lang w:eastAsia="it-IT"/>
        </w:rPr>
      </w:pPr>
      <w:r w:rsidRPr="008B3F4B">
        <w:rPr>
          <w:rFonts w:asciiTheme="minorHAnsi" w:eastAsia="Times New Roman" w:hAnsiTheme="minorHAnsi" w:cstheme="minorHAnsi"/>
          <w:b/>
          <w:bCs/>
          <w:color w:val="3D3B39"/>
          <w:lang w:eastAsia="it-IT"/>
        </w:rPr>
        <w:t>DIRITTO</w:t>
      </w:r>
    </w:p>
    <w:p w:rsidR="008B3F4B" w:rsidRPr="008B3F4B" w:rsidRDefault="008B3F4B" w:rsidP="008B3F4B">
      <w:pPr>
        <w:spacing w:after="265"/>
        <w:rPr>
          <w:rFonts w:asciiTheme="minorHAnsi" w:eastAsia="Times New Roman" w:hAnsiTheme="minorHAnsi" w:cstheme="minorHAnsi"/>
          <w:color w:val="3D3B39"/>
          <w:lang w:eastAsia="it-IT"/>
        </w:rPr>
      </w:pPr>
      <w:r w:rsidRPr="008B3F4B">
        <w:rPr>
          <w:rFonts w:asciiTheme="minorHAnsi" w:eastAsia="Times New Roman" w:hAnsiTheme="minorHAnsi" w:cstheme="minorHAnsi"/>
          <w:color w:val="3D3B39"/>
          <w:lang w:eastAsia="it-IT"/>
        </w:rPr>
        <w:t xml:space="preserve">1) In ragione dell’evidente connessione oggettiva e soggettiva, va preliminarmente disposta la riunione dei ricorsi proposti avverso gli atti della stessa gara d’appalto. </w:t>
      </w:r>
      <w:r w:rsidRPr="008B3F4B">
        <w:rPr>
          <w:rFonts w:asciiTheme="minorHAnsi" w:eastAsia="Times New Roman" w:hAnsiTheme="minorHAnsi" w:cstheme="minorHAnsi"/>
          <w:color w:val="3D3B39"/>
          <w:lang w:eastAsia="it-IT"/>
        </w:rPr>
        <w:br/>
        <w:t xml:space="preserve">2) In via preliminare, si pone anche la questione concernente l’ordine di trattazione dei ricorsi. </w:t>
      </w:r>
      <w:r w:rsidRPr="008B3F4B">
        <w:rPr>
          <w:rFonts w:asciiTheme="minorHAnsi" w:eastAsia="Times New Roman" w:hAnsiTheme="minorHAnsi" w:cstheme="minorHAnsi"/>
          <w:color w:val="3D3B39"/>
          <w:lang w:eastAsia="it-IT"/>
        </w:rPr>
        <w:br/>
        <w:t xml:space="preserve">OMISSIS S.r.l. ritiene che il suo ricorso, contraddistinto dal </w:t>
      </w:r>
      <w:proofErr w:type="spellStart"/>
      <w:r w:rsidRPr="008B3F4B">
        <w:rPr>
          <w:rFonts w:asciiTheme="minorHAnsi" w:eastAsia="Times New Roman" w:hAnsiTheme="minorHAnsi" w:cstheme="minorHAnsi"/>
          <w:color w:val="3D3B39"/>
          <w:lang w:eastAsia="it-IT"/>
        </w:rPr>
        <w:t>r.g</w:t>
      </w:r>
      <w:proofErr w:type="spellEnd"/>
      <w:r w:rsidRPr="008B3F4B">
        <w:rPr>
          <w:rFonts w:asciiTheme="minorHAnsi" w:eastAsia="Times New Roman" w:hAnsiTheme="minorHAnsi" w:cstheme="minorHAnsi"/>
          <w:color w:val="3D3B39"/>
          <w:lang w:eastAsia="it-IT"/>
        </w:rPr>
        <w:t xml:space="preserve">. n. 800/2018, dovrebbe essere scrutinato prima dei motivi aggiunti proposti nell’ambito del giudizio introdotto da OMISSIS S.r.l. con il ricorso </w:t>
      </w:r>
      <w:proofErr w:type="spellStart"/>
      <w:r w:rsidRPr="008B3F4B">
        <w:rPr>
          <w:rFonts w:asciiTheme="minorHAnsi" w:eastAsia="Times New Roman" w:hAnsiTheme="minorHAnsi" w:cstheme="minorHAnsi"/>
          <w:color w:val="3D3B39"/>
          <w:lang w:eastAsia="it-IT"/>
        </w:rPr>
        <w:t>r.g</w:t>
      </w:r>
      <w:proofErr w:type="spellEnd"/>
      <w:r w:rsidRPr="008B3F4B">
        <w:rPr>
          <w:rFonts w:asciiTheme="minorHAnsi" w:eastAsia="Times New Roman" w:hAnsiTheme="minorHAnsi" w:cstheme="minorHAnsi"/>
          <w:color w:val="3D3B39"/>
          <w:lang w:eastAsia="it-IT"/>
        </w:rPr>
        <w:t xml:space="preserve">. n. 654/2018. </w:t>
      </w:r>
      <w:r w:rsidRPr="008B3F4B">
        <w:rPr>
          <w:rFonts w:asciiTheme="minorHAnsi" w:eastAsia="Times New Roman" w:hAnsiTheme="minorHAnsi" w:cstheme="minorHAnsi"/>
          <w:color w:val="3D3B39"/>
          <w:lang w:eastAsia="it-IT"/>
        </w:rPr>
        <w:br/>
        <w:t>I predetti motivi aggiunti, infatti, investono solo </w:t>
      </w:r>
      <w:r w:rsidRPr="008B3F4B">
        <w:rPr>
          <w:rFonts w:asciiTheme="minorHAnsi" w:eastAsia="Times New Roman" w:hAnsiTheme="minorHAnsi" w:cstheme="minorHAnsi"/>
          <w:i/>
          <w:iCs/>
          <w:color w:val="3D3B39"/>
          <w:lang w:eastAsia="it-IT"/>
        </w:rPr>
        <w:t>in parte qua</w:t>
      </w:r>
      <w:r w:rsidRPr="008B3F4B">
        <w:rPr>
          <w:rFonts w:asciiTheme="minorHAnsi" w:eastAsia="Times New Roman" w:hAnsiTheme="minorHAnsi" w:cstheme="minorHAnsi"/>
          <w:color w:val="3D3B39"/>
          <w:lang w:eastAsia="it-IT"/>
        </w:rPr>
        <w:t xml:space="preserve"> l’impugnato provvedimento di autotutela, limitatamente alla posizione dell’aggiudicataria OMISSIS S.p.a. </w:t>
      </w:r>
      <w:r w:rsidRPr="008B3F4B">
        <w:rPr>
          <w:rFonts w:asciiTheme="minorHAnsi" w:eastAsia="Times New Roman" w:hAnsiTheme="minorHAnsi" w:cstheme="minorHAnsi"/>
          <w:color w:val="3D3B39"/>
          <w:lang w:eastAsia="it-IT"/>
        </w:rPr>
        <w:br/>
        <w:t xml:space="preserve">L’accoglimento delle censure sollevate da OMISSIS S.r.l. determinerebbe, invece, l’integrale caducazione del provvedimento di secondo grado, con conseguente reviviscenza dell’originaria aggiudicazione. </w:t>
      </w:r>
      <w:r w:rsidRPr="008B3F4B">
        <w:rPr>
          <w:rFonts w:asciiTheme="minorHAnsi" w:eastAsia="Times New Roman" w:hAnsiTheme="minorHAnsi" w:cstheme="minorHAnsi"/>
          <w:color w:val="3D3B39"/>
          <w:lang w:eastAsia="it-IT"/>
        </w:rPr>
        <w:br/>
        <w:t>Ritiene il Collegio di non aderire al suggerito </w:t>
      </w:r>
      <w:r w:rsidRPr="008B3F4B">
        <w:rPr>
          <w:rFonts w:asciiTheme="minorHAnsi" w:eastAsia="Times New Roman" w:hAnsiTheme="minorHAnsi" w:cstheme="minorHAnsi"/>
          <w:i/>
          <w:iCs/>
          <w:color w:val="3D3B39"/>
          <w:lang w:eastAsia="it-IT"/>
        </w:rPr>
        <w:t>modus operandi </w:t>
      </w:r>
      <w:r w:rsidRPr="008B3F4B">
        <w:rPr>
          <w:rFonts w:asciiTheme="minorHAnsi" w:eastAsia="Times New Roman" w:hAnsiTheme="minorHAnsi" w:cstheme="minorHAnsi"/>
          <w:color w:val="3D3B39"/>
          <w:lang w:eastAsia="it-IT"/>
        </w:rPr>
        <w:t xml:space="preserve">che, pur ispirato a criteri di priorità logica, potrebbe portare in concreto ad un risultato non in linea con la tutela piena dell’interesse pubblico e della legalità. </w:t>
      </w:r>
      <w:r w:rsidRPr="008B3F4B">
        <w:rPr>
          <w:rFonts w:asciiTheme="minorHAnsi" w:eastAsia="Times New Roman" w:hAnsiTheme="minorHAnsi" w:cstheme="minorHAnsi"/>
          <w:color w:val="3D3B39"/>
          <w:lang w:eastAsia="it-IT"/>
        </w:rPr>
        <w:br/>
        <w:t xml:space="preserve">Anche alla luce delle ragioni sostanziali sottese all’annullamento in autotutela della prima aggiudicazione, appare preferibile, quindi, seguire l’ordine di acquisizione dei ricorsi introduttivi. </w:t>
      </w:r>
      <w:r w:rsidRPr="008B3F4B">
        <w:rPr>
          <w:rFonts w:asciiTheme="minorHAnsi" w:eastAsia="Times New Roman" w:hAnsiTheme="minorHAnsi" w:cstheme="minorHAnsi"/>
          <w:color w:val="3D3B39"/>
          <w:lang w:eastAsia="it-IT"/>
        </w:rPr>
        <w:br/>
        <w:t>3) Il primo ricorso (</w:t>
      </w:r>
      <w:proofErr w:type="spellStart"/>
      <w:r w:rsidRPr="008B3F4B">
        <w:rPr>
          <w:rFonts w:asciiTheme="minorHAnsi" w:eastAsia="Times New Roman" w:hAnsiTheme="minorHAnsi" w:cstheme="minorHAnsi"/>
          <w:color w:val="3D3B39"/>
          <w:lang w:eastAsia="it-IT"/>
        </w:rPr>
        <w:t>r.g</w:t>
      </w:r>
      <w:proofErr w:type="spellEnd"/>
      <w:r w:rsidRPr="008B3F4B">
        <w:rPr>
          <w:rFonts w:asciiTheme="minorHAnsi" w:eastAsia="Times New Roman" w:hAnsiTheme="minorHAnsi" w:cstheme="minorHAnsi"/>
          <w:color w:val="3D3B39"/>
          <w:lang w:eastAsia="it-IT"/>
        </w:rPr>
        <w:t xml:space="preserve">. n. 654/2018) è stato proposto da OMISSIS S.r.l. per l’annullamento del provvedimento in data 27 luglio 2018 di aggiudicazione della gara d’appalto, per quanto concerne il lotto n. 8, a OMISSIS S.r.l. </w:t>
      </w:r>
      <w:r w:rsidRPr="008B3F4B">
        <w:rPr>
          <w:rFonts w:asciiTheme="minorHAnsi" w:eastAsia="Times New Roman" w:hAnsiTheme="minorHAnsi" w:cstheme="minorHAnsi"/>
          <w:color w:val="3D3B39"/>
          <w:lang w:eastAsia="it-IT"/>
        </w:rPr>
        <w:br/>
        <w:t xml:space="preserve">Come anticipato in premessa, la ricorrente, classificatasi al settimo posto della graduatoria, deduceva che tutte le offerte concorrenti avrebbero dovuto essere escluse in quanto prive delle caratteristiche tecniche richieste dalla legge di gara, non essendo stata dimostrata l’equivalenza dei rispettivi prodotti al modello di riferimento (stelo tipo “Spotorno”) e al materiale richiesto per il cotile (metallo trabecolare). </w:t>
      </w:r>
      <w:r w:rsidRPr="008B3F4B">
        <w:rPr>
          <w:rFonts w:asciiTheme="minorHAnsi" w:eastAsia="Times New Roman" w:hAnsiTheme="minorHAnsi" w:cstheme="minorHAnsi"/>
          <w:color w:val="3D3B39"/>
          <w:lang w:eastAsia="it-IT"/>
        </w:rPr>
        <w:br/>
      </w:r>
      <w:r w:rsidRPr="008B3F4B">
        <w:rPr>
          <w:rFonts w:asciiTheme="minorHAnsi" w:eastAsia="Times New Roman" w:hAnsiTheme="minorHAnsi" w:cstheme="minorHAnsi"/>
          <w:color w:val="3D3B39"/>
          <w:lang w:eastAsia="it-IT"/>
        </w:rPr>
        <w:lastRenderedPageBreak/>
        <w:t xml:space="preserve">Tali doglianze, fatte valere anche in via amministrativa, sono state condivise quasi per intero dalla stazione appaltante che, con successivo provvedimento del 6 novembre 2018, ha annullato in autotutela l’impugnato provvedimento di aggiudicazione e formato una nuova graduatoria nella quale figurano due sole concorrenti. </w:t>
      </w:r>
      <w:r w:rsidRPr="008B3F4B">
        <w:rPr>
          <w:rFonts w:asciiTheme="minorHAnsi" w:eastAsia="Times New Roman" w:hAnsiTheme="minorHAnsi" w:cstheme="minorHAnsi"/>
          <w:color w:val="3D3B39"/>
          <w:lang w:eastAsia="it-IT"/>
        </w:rPr>
        <w:br/>
        <w:t xml:space="preserve">L’intervenuto annullamento in autotutela del provvedimento impugnato rende evidentemente improcedibile per sopravvenuto difetto di interesse il ricorso introduttivo di OMISSIS S.r.l. </w:t>
      </w:r>
      <w:r w:rsidRPr="008B3F4B">
        <w:rPr>
          <w:rFonts w:asciiTheme="minorHAnsi" w:eastAsia="Times New Roman" w:hAnsiTheme="minorHAnsi" w:cstheme="minorHAnsi"/>
          <w:color w:val="3D3B39"/>
          <w:lang w:eastAsia="it-IT"/>
        </w:rPr>
        <w:br/>
        <w:t xml:space="preserve">4) Con i motivi aggiunti, è stata impugnata la nuova graduatoria approvata con il menzionato provvedimento di secondo grado, nella quale l’offerta della ricorrente occupa il secondo posto ed è preceduta da quella di OMISSIS S.p.a. </w:t>
      </w:r>
      <w:r w:rsidRPr="008B3F4B">
        <w:rPr>
          <w:rFonts w:asciiTheme="minorHAnsi" w:eastAsia="Times New Roman" w:hAnsiTheme="minorHAnsi" w:cstheme="minorHAnsi"/>
          <w:color w:val="3D3B39"/>
          <w:lang w:eastAsia="it-IT"/>
        </w:rPr>
        <w:br/>
        <w:t xml:space="preserve">Eccepisce la </w:t>
      </w:r>
      <w:proofErr w:type="spellStart"/>
      <w:r w:rsidRPr="008B3F4B">
        <w:rPr>
          <w:rFonts w:asciiTheme="minorHAnsi" w:eastAsia="Times New Roman" w:hAnsiTheme="minorHAnsi" w:cstheme="minorHAnsi"/>
          <w:color w:val="3D3B39"/>
          <w:lang w:eastAsia="it-IT"/>
        </w:rPr>
        <w:t>controinteressata</w:t>
      </w:r>
      <w:proofErr w:type="spellEnd"/>
      <w:r w:rsidRPr="008B3F4B">
        <w:rPr>
          <w:rFonts w:asciiTheme="minorHAnsi" w:eastAsia="Times New Roman" w:hAnsiTheme="minorHAnsi" w:cstheme="minorHAnsi"/>
          <w:color w:val="3D3B39"/>
          <w:lang w:eastAsia="it-IT"/>
        </w:rPr>
        <w:t xml:space="preserve"> Smith e </w:t>
      </w:r>
      <w:proofErr w:type="spellStart"/>
      <w:r w:rsidRPr="008B3F4B">
        <w:rPr>
          <w:rFonts w:asciiTheme="minorHAnsi" w:eastAsia="Times New Roman" w:hAnsiTheme="minorHAnsi" w:cstheme="minorHAnsi"/>
          <w:color w:val="3D3B39"/>
          <w:lang w:eastAsia="it-IT"/>
        </w:rPr>
        <w:t>Nephew</w:t>
      </w:r>
      <w:proofErr w:type="spellEnd"/>
      <w:r w:rsidRPr="008B3F4B">
        <w:rPr>
          <w:rFonts w:asciiTheme="minorHAnsi" w:eastAsia="Times New Roman" w:hAnsiTheme="minorHAnsi" w:cstheme="minorHAnsi"/>
          <w:color w:val="3D3B39"/>
          <w:lang w:eastAsia="it-IT"/>
        </w:rPr>
        <w:t xml:space="preserve"> S.r.l. che il ricorso per motivi aggiunti sarebbe inammissibile in quanto la ricorrente, non avendo sollevato specifiche contestazioni nei confronti dei punteggi assegnati alle concorrenti che la precedevano nell’originaria graduatoria, non dimostra che avrebbe potuto conseguire l’aggiudicazione della gara tramite scorrimento della stessa, nonché per acquiescenza al provvedimento di autotutela nella parte in cui esclude la condizione di esclusività dello stelo tipo “Spotorno”. </w:t>
      </w:r>
      <w:r w:rsidRPr="008B3F4B">
        <w:rPr>
          <w:rFonts w:asciiTheme="minorHAnsi" w:eastAsia="Times New Roman" w:hAnsiTheme="minorHAnsi" w:cstheme="minorHAnsi"/>
          <w:color w:val="3D3B39"/>
          <w:lang w:eastAsia="it-IT"/>
        </w:rPr>
        <w:br/>
        <w:t xml:space="preserve">Tali eccezioni sono prive di pregio. </w:t>
      </w:r>
      <w:r w:rsidRPr="008B3F4B">
        <w:rPr>
          <w:rFonts w:asciiTheme="minorHAnsi" w:eastAsia="Times New Roman" w:hAnsiTheme="minorHAnsi" w:cstheme="minorHAnsi"/>
          <w:color w:val="3D3B39"/>
          <w:lang w:eastAsia="it-IT"/>
        </w:rPr>
        <w:br/>
        <w:t xml:space="preserve">Infatti, la ricorrente non aveva contestato la valutazione delle offerte delle imprese meglio classificate, ma la loro stessa ammissibilità al confronto competitivo per mancanza delle richieste specifiche tecniche. </w:t>
      </w:r>
      <w:r w:rsidRPr="008B3F4B">
        <w:rPr>
          <w:rFonts w:asciiTheme="minorHAnsi" w:eastAsia="Times New Roman" w:hAnsiTheme="minorHAnsi" w:cstheme="minorHAnsi"/>
          <w:color w:val="3D3B39"/>
          <w:lang w:eastAsia="it-IT"/>
        </w:rPr>
        <w:br/>
        <w:t xml:space="preserve">Appare evidente, quindi, che l’eventuale accoglimento delle censure sollevate dalla ricorrente avrebbe comportato il subentro della stessa nell’aggiudicazione della gara. </w:t>
      </w:r>
      <w:r w:rsidRPr="008B3F4B">
        <w:rPr>
          <w:rFonts w:asciiTheme="minorHAnsi" w:eastAsia="Times New Roman" w:hAnsiTheme="minorHAnsi" w:cstheme="minorHAnsi"/>
          <w:color w:val="3D3B39"/>
          <w:lang w:eastAsia="it-IT"/>
        </w:rPr>
        <w:br/>
        <w:t xml:space="preserve">La natura delle doglianze sollevate con il ricorso introduttivo esclude, in secondo luogo, che si possa ravvisare alcun comportamento acquiescente da parte della Società OMISSIS, sicché appare radicalmente infondata anche la seconda eccezione di inammissibilità. </w:t>
      </w:r>
      <w:r w:rsidRPr="008B3F4B">
        <w:rPr>
          <w:rFonts w:asciiTheme="minorHAnsi" w:eastAsia="Times New Roman" w:hAnsiTheme="minorHAnsi" w:cstheme="minorHAnsi"/>
          <w:color w:val="3D3B39"/>
          <w:lang w:eastAsia="it-IT"/>
        </w:rPr>
        <w:br/>
        <w:t xml:space="preserve">5) Nel merito, sostiene l’esponente, con il primo motivo aggiunto, che l’offerta aggiudicataria avrebbe dovuto essere esclusa in quanto priva delle caratteristiche tecniche minime richieste dalla documentazione di gara. </w:t>
      </w:r>
      <w:r w:rsidRPr="008B3F4B">
        <w:rPr>
          <w:rFonts w:asciiTheme="minorHAnsi" w:eastAsia="Times New Roman" w:hAnsiTheme="minorHAnsi" w:cstheme="minorHAnsi"/>
          <w:color w:val="3D3B39"/>
          <w:lang w:eastAsia="it-IT"/>
        </w:rPr>
        <w:br/>
        <w:t xml:space="preserve">Infatti, non avendo offerto una protesi tipo “Spotorno”, commercializzata dalla ricorrente, ma un altro prodotto, la </w:t>
      </w:r>
      <w:proofErr w:type="spellStart"/>
      <w:r w:rsidRPr="008B3F4B">
        <w:rPr>
          <w:rFonts w:asciiTheme="minorHAnsi" w:eastAsia="Times New Roman" w:hAnsiTheme="minorHAnsi" w:cstheme="minorHAnsi"/>
          <w:color w:val="3D3B39"/>
          <w:lang w:eastAsia="it-IT"/>
        </w:rPr>
        <w:t>controinteressata</w:t>
      </w:r>
      <w:proofErr w:type="spellEnd"/>
      <w:r w:rsidRPr="008B3F4B">
        <w:rPr>
          <w:rFonts w:asciiTheme="minorHAnsi" w:eastAsia="Times New Roman" w:hAnsiTheme="minorHAnsi" w:cstheme="minorHAnsi"/>
          <w:color w:val="3D3B39"/>
          <w:lang w:eastAsia="it-IT"/>
        </w:rPr>
        <w:t xml:space="preserve"> era tenuta a dimostrare che la sua soluzione corrispondesse effettivamente ai requisiti definiti dalle specifiche tecniche e, comunque, a rappresentare tale condizione di equivalenza con specifica dichiarazione e adeguata documentazione. </w:t>
      </w:r>
      <w:r w:rsidRPr="008B3F4B">
        <w:rPr>
          <w:rFonts w:asciiTheme="minorHAnsi" w:eastAsia="Times New Roman" w:hAnsiTheme="minorHAnsi" w:cstheme="minorHAnsi"/>
          <w:color w:val="3D3B39"/>
          <w:lang w:eastAsia="it-IT"/>
        </w:rPr>
        <w:br/>
        <w:t xml:space="preserve">La carenza di tali elementi non potrebbe essere compensata, come verificatosi nella fattispecie, attraverso le valutazioni tecniche discrezionalmente formulate dalla Commissione di gara. </w:t>
      </w:r>
      <w:r w:rsidRPr="008B3F4B">
        <w:rPr>
          <w:rFonts w:asciiTheme="minorHAnsi" w:eastAsia="Times New Roman" w:hAnsiTheme="minorHAnsi" w:cstheme="minorHAnsi"/>
          <w:color w:val="3D3B39"/>
          <w:lang w:eastAsia="it-IT"/>
        </w:rPr>
        <w:br/>
        <w:t xml:space="preserve">In ogni caso, il prodotto offerto dall’aggiudicataria sarebbe effettivamente privo delle necessarie caratteristiche tecniche, poiché lo stelo della protesi, pur simile a quello “Spotorno”, si discosta dai principi fondamentali che governano il funzionamento di tale modello. </w:t>
      </w:r>
      <w:r w:rsidRPr="008B3F4B">
        <w:rPr>
          <w:rFonts w:asciiTheme="minorHAnsi" w:eastAsia="Times New Roman" w:hAnsiTheme="minorHAnsi" w:cstheme="minorHAnsi"/>
          <w:color w:val="3D3B39"/>
          <w:lang w:eastAsia="it-IT"/>
        </w:rPr>
        <w:br/>
        <w:t xml:space="preserve">Si controverte, pertanto, in ordine all’applicazione del “principio di equivalenza tecnica” sancito dall’art. 68 del d.lgs. n. 50/2016 al fine di evitare che l’utilizzo delle specifiche tecniche possa risultare strumentale ad indebite restrizioni del confronto concorrenziale. </w:t>
      </w:r>
      <w:r w:rsidRPr="008B3F4B">
        <w:rPr>
          <w:rFonts w:asciiTheme="minorHAnsi" w:eastAsia="Times New Roman" w:hAnsiTheme="minorHAnsi" w:cstheme="minorHAnsi"/>
          <w:color w:val="3D3B39"/>
          <w:lang w:eastAsia="it-IT"/>
        </w:rPr>
        <w:br/>
        <w:t>Stabilisce il comma 6 dell’art. 68 che, fatta salva l’ipotesi in cui siano giustificate dall’oggetto dell’appalto, “</w:t>
      </w:r>
      <w:r w:rsidRPr="008B3F4B">
        <w:rPr>
          <w:rFonts w:asciiTheme="minorHAnsi" w:eastAsia="Times New Roman" w:hAnsiTheme="minorHAnsi" w:cstheme="minorHAnsi"/>
          <w:i/>
          <w:iCs/>
          <w:color w:val="3D3B39"/>
          <w:lang w:eastAsia="it-IT"/>
        </w:rPr>
        <w:t>le specifiche tecniche non possono menzionare una fabbricazione o provenienza determinata o un procedimento particolare caratteristico dei prodotti o dei servizi forniti da un operatore economico specifico, né far riferimento a un marchio, a un brevetto o a un tipo, a un’origine o a una produzione specifica che avrebbero come effetto di favorire o eliminare talune imprese o taluni prodotti. Tale menzione o riferimento sono tuttavia consentiti, in via eccezionale, nel caso in cui una descrizione sufficientemente precisa e intelligibile dell’oggetto dell’appalto non sia possibile applicando il comma 5. In tal caso la menzione o il riferimento sono accompagnati dall’espressione «o equivalente»</w:t>
      </w:r>
      <w:r w:rsidRPr="008B3F4B">
        <w:rPr>
          <w:rFonts w:asciiTheme="minorHAnsi" w:eastAsia="Times New Roman" w:hAnsiTheme="minorHAnsi" w:cstheme="minorHAnsi"/>
          <w:color w:val="3D3B39"/>
          <w:lang w:eastAsia="it-IT"/>
        </w:rPr>
        <w:t xml:space="preserve">”. </w:t>
      </w:r>
      <w:r w:rsidRPr="008B3F4B">
        <w:rPr>
          <w:rFonts w:asciiTheme="minorHAnsi" w:eastAsia="Times New Roman" w:hAnsiTheme="minorHAnsi" w:cstheme="minorHAnsi"/>
          <w:color w:val="3D3B39"/>
          <w:lang w:eastAsia="it-IT"/>
        </w:rPr>
        <w:br/>
        <w:t>Il successivo comma 7 precisa che, “</w:t>
      </w:r>
      <w:r w:rsidRPr="008B3F4B">
        <w:rPr>
          <w:rFonts w:asciiTheme="minorHAnsi" w:eastAsia="Times New Roman" w:hAnsiTheme="minorHAnsi" w:cstheme="minorHAnsi"/>
          <w:i/>
          <w:iCs/>
          <w:color w:val="3D3B39"/>
          <w:lang w:eastAsia="it-IT"/>
        </w:rPr>
        <w:t>quando si avvalgono della possibilità di fare riferimento alle specifiche tecniche di cui al comma 5, lettera b), le amministrazioni aggiudicatrici non possono dichiarare inammissibile o escludere un’offerta per il motivo che i lavori, le forniture o i servizi offerti non sono conformi alle specifiche tecniche alle quali hanno fatto riferimento, se nella propria offerta l’offerente dimostra, con qualsiasi mezzo appropriato, compresi i mezzi di prova di cui all’articolo 86, che le soluzioni proposte ottemperano in maniera equivalente ai requisiti definiti dalle specifiche tecniche</w:t>
      </w:r>
      <w:r w:rsidRPr="008B3F4B">
        <w:rPr>
          <w:rFonts w:asciiTheme="minorHAnsi" w:eastAsia="Times New Roman" w:hAnsiTheme="minorHAnsi" w:cstheme="minorHAnsi"/>
          <w:color w:val="3D3B39"/>
          <w:lang w:eastAsia="it-IT"/>
        </w:rPr>
        <w:t xml:space="preserve">”. </w:t>
      </w:r>
      <w:r w:rsidRPr="008B3F4B">
        <w:rPr>
          <w:rFonts w:asciiTheme="minorHAnsi" w:eastAsia="Times New Roman" w:hAnsiTheme="minorHAnsi" w:cstheme="minorHAnsi"/>
          <w:color w:val="3D3B39"/>
          <w:lang w:eastAsia="it-IT"/>
        </w:rPr>
        <w:br/>
        <w:t xml:space="preserve">Nel caso in esame, il principio di equivalenza è stato applicato dalla legge di gara che, subito dopo </w:t>
      </w:r>
      <w:r w:rsidRPr="008B3F4B">
        <w:rPr>
          <w:rFonts w:asciiTheme="minorHAnsi" w:eastAsia="Times New Roman" w:hAnsiTheme="minorHAnsi" w:cstheme="minorHAnsi"/>
          <w:color w:val="3D3B39"/>
          <w:lang w:eastAsia="it-IT"/>
        </w:rPr>
        <w:lastRenderedPageBreak/>
        <w:t>l’indicazione relativa al modello di stelo richiesto, riportava la formula “</w:t>
      </w:r>
      <w:r w:rsidRPr="008B3F4B">
        <w:rPr>
          <w:rFonts w:asciiTheme="minorHAnsi" w:eastAsia="Times New Roman" w:hAnsiTheme="minorHAnsi" w:cstheme="minorHAnsi"/>
          <w:i/>
          <w:iCs/>
          <w:color w:val="3D3B39"/>
          <w:lang w:eastAsia="it-IT"/>
        </w:rPr>
        <w:t>o equivalenti</w:t>
      </w:r>
      <w:r w:rsidRPr="008B3F4B">
        <w:rPr>
          <w:rFonts w:asciiTheme="minorHAnsi" w:eastAsia="Times New Roman" w:hAnsiTheme="minorHAnsi" w:cstheme="minorHAnsi"/>
          <w:color w:val="3D3B39"/>
          <w:lang w:eastAsia="it-IT"/>
        </w:rPr>
        <w:t>”, pur senza precisare il </w:t>
      </w:r>
      <w:r w:rsidRPr="008B3F4B">
        <w:rPr>
          <w:rFonts w:asciiTheme="minorHAnsi" w:eastAsia="Times New Roman" w:hAnsiTheme="minorHAnsi" w:cstheme="minorHAnsi"/>
          <w:i/>
          <w:iCs/>
          <w:color w:val="3D3B39"/>
          <w:lang w:eastAsia="it-IT"/>
        </w:rPr>
        <w:t>quando</w:t>
      </w:r>
      <w:r w:rsidRPr="008B3F4B">
        <w:rPr>
          <w:rFonts w:asciiTheme="minorHAnsi" w:eastAsia="Times New Roman" w:hAnsiTheme="minorHAnsi" w:cstheme="minorHAnsi"/>
          <w:color w:val="3D3B39"/>
          <w:lang w:eastAsia="it-IT"/>
        </w:rPr>
        <w:t> e il </w:t>
      </w:r>
      <w:proofErr w:type="spellStart"/>
      <w:r w:rsidRPr="008B3F4B">
        <w:rPr>
          <w:rFonts w:asciiTheme="minorHAnsi" w:eastAsia="Times New Roman" w:hAnsiTheme="minorHAnsi" w:cstheme="minorHAnsi"/>
          <w:i/>
          <w:iCs/>
          <w:color w:val="3D3B39"/>
          <w:lang w:eastAsia="it-IT"/>
        </w:rPr>
        <w:t>quomodo</w:t>
      </w:r>
      <w:proofErr w:type="spellEnd"/>
      <w:r w:rsidRPr="008B3F4B">
        <w:rPr>
          <w:rFonts w:asciiTheme="minorHAnsi" w:eastAsia="Times New Roman" w:hAnsiTheme="minorHAnsi" w:cstheme="minorHAnsi"/>
          <w:color w:val="3D3B39"/>
          <w:lang w:eastAsia="it-IT"/>
        </w:rPr>
        <w:t xml:space="preserve"> della dimostrazione di equivalenza del prodotto offerto. </w:t>
      </w:r>
      <w:r w:rsidRPr="008B3F4B">
        <w:rPr>
          <w:rFonts w:asciiTheme="minorHAnsi" w:eastAsia="Times New Roman" w:hAnsiTheme="minorHAnsi" w:cstheme="minorHAnsi"/>
          <w:color w:val="3D3B39"/>
          <w:lang w:eastAsia="it-IT"/>
        </w:rPr>
        <w:br/>
        <w:t>La generica dichiarazione, resa attraverso la compilazione del modello di offerta tecnica predisposto dalla stazione appaltante, “</w:t>
      </w:r>
      <w:r w:rsidRPr="008B3F4B">
        <w:rPr>
          <w:rFonts w:asciiTheme="minorHAnsi" w:eastAsia="Times New Roman" w:hAnsiTheme="minorHAnsi" w:cstheme="minorHAnsi"/>
          <w:i/>
          <w:iCs/>
          <w:color w:val="3D3B39"/>
          <w:lang w:eastAsia="it-IT"/>
        </w:rPr>
        <w:t>che nei prodotti offerti nella presente procedura sono presenti tutti i requisiti tecnici minimi (pena esclusione), previsti ai paragrafi nel Capitolato tecnico - Sezione A allegato al Disciplinare di gara</w:t>
      </w:r>
      <w:r w:rsidRPr="008B3F4B">
        <w:rPr>
          <w:rFonts w:asciiTheme="minorHAnsi" w:eastAsia="Times New Roman" w:hAnsiTheme="minorHAnsi" w:cstheme="minorHAnsi"/>
          <w:color w:val="3D3B39"/>
          <w:lang w:eastAsia="it-IT"/>
        </w:rPr>
        <w:t xml:space="preserve">”, non costituiva ovviamente prova dell’equivalenza del prodotto offerto rispetto a quello indicato nei documenti di gara. </w:t>
      </w:r>
      <w:r w:rsidRPr="008B3F4B">
        <w:rPr>
          <w:rFonts w:asciiTheme="minorHAnsi" w:eastAsia="Times New Roman" w:hAnsiTheme="minorHAnsi" w:cstheme="minorHAnsi"/>
          <w:color w:val="3D3B39"/>
          <w:lang w:eastAsia="it-IT"/>
        </w:rPr>
        <w:br/>
        <w:t>La Commissione giudicatrice, pertanto, ha ritenuto di supplire autonomamente all’accennata carenza, stabilendo che, secondo la propria valutazione tecnico-discrezionale, il prodotto di OMISSIS fosse “</w:t>
      </w:r>
      <w:r w:rsidRPr="008B3F4B">
        <w:rPr>
          <w:rFonts w:asciiTheme="minorHAnsi" w:eastAsia="Times New Roman" w:hAnsiTheme="minorHAnsi" w:cstheme="minorHAnsi"/>
          <w:i/>
          <w:iCs/>
          <w:color w:val="3D3B39"/>
          <w:lang w:eastAsia="it-IT"/>
        </w:rPr>
        <w:t>complessivamente e funzionalmente equivalente al tipo Spotorno</w:t>
      </w:r>
      <w:r w:rsidRPr="008B3F4B">
        <w:rPr>
          <w:rFonts w:asciiTheme="minorHAnsi" w:eastAsia="Times New Roman" w:hAnsiTheme="minorHAnsi" w:cstheme="minorHAnsi"/>
          <w:color w:val="3D3B39"/>
          <w:lang w:eastAsia="it-IT"/>
        </w:rPr>
        <w:t xml:space="preserve">” (cfr. verbale della riunione del 19 ottobre 2018). </w:t>
      </w:r>
      <w:r w:rsidRPr="008B3F4B">
        <w:rPr>
          <w:rFonts w:asciiTheme="minorHAnsi" w:eastAsia="Times New Roman" w:hAnsiTheme="minorHAnsi" w:cstheme="minorHAnsi"/>
          <w:color w:val="3D3B39"/>
          <w:lang w:eastAsia="it-IT"/>
        </w:rPr>
        <w:br/>
        <w:t>A prescindere dalla genericità dei termini che esprimono la valutazione suddetta, tale </w:t>
      </w:r>
      <w:r w:rsidRPr="008B3F4B">
        <w:rPr>
          <w:rFonts w:asciiTheme="minorHAnsi" w:eastAsia="Times New Roman" w:hAnsiTheme="minorHAnsi" w:cstheme="minorHAnsi"/>
          <w:i/>
          <w:iCs/>
          <w:color w:val="3D3B39"/>
          <w:lang w:eastAsia="it-IT"/>
        </w:rPr>
        <w:t>modus operandi</w:t>
      </w:r>
      <w:r w:rsidRPr="008B3F4B">
        <w:rPr>
          <w:rFonts w:asciiTheme="minorHAnsi" w:eastAsia="Times New Roman" w:hAnsiTheme="minorHAnsi" w:cstheme="minorHAnsi"/>
          <w:color w:val="3D3B39"/>
          <w:lang w:eastAsia="it-IT"/>
        </w:rPr>
        <w:t> non appare rispettoso delle esigenze di </w:t>
      </w:r>
      <w:r w:rsidRPr="008B3F4B">
        <w:rPr>
          <w:rFonts w:asciiTheme="minorHAnsi" w:eastAsia="Times New Roman" w:hAnsiTheme="minorHAnsi" w:cstheme="minorHAnsi"/>
          <w:i/>
          <w:iCs/>
          <w:color w:val="3D3B39"/>
          <w:lang w:eastAsia="it-IT"/>
        </w:rPr>
        <w:t>par condicio</w:t>
      </w:r>
      <w:r w:rsidRPr="008B3F4B">
        <w:rPr>
          <w:rFonts w:asciiTheme="minorHAnsi" w:eastAsia="Times New Roman" w:hAnsiTheme="minorHAnsi" w:cstheme="minorHAnsi"/>
          <w:color w:val="3D3B39"/>
          <w:lang w:eastAsia="it-IT"/>
        </w:rPr>
        <w:t xml:space="preserve"> tra i concorrenti e di trasparenza delle operazioni di gara(cfr. </w:t>
      </w:r>
      <w:proofErr w:type="spellStart"/>
      <w:r w:rsidRPr="008B3F4B">
        <w:rPr>
          <w:rFonts w:asciiTheme="minorHAnsi" w:eastAsia="Times New Roman" w:hAnsiTheme="minorHAnsi" w:cstheme="minorHAnsi"/>
          <w:color w:val="3D3B39"/>
          <w:lang w:eastAsia="it-IT"/>
        </w:rPr>
        <w:t>Cons</w:t>
      </w:r>
      <w:proofErr w:type="spellEnd"/>
      <w:r w:rsidRPr="008B3F4B">
        <w:rPr>
          <w:rFonts w:asciiTheme="minorHAnsi" w:eastAsia="Times New Roman" w:hAnsiTheme="minorHAnsi" w:cstheme="minorHAnsi"/>
          <w:color w:val="3D3B39"/>
          <w:lang w:eastAsia="it-IT"/>
        </w:rPr>
        <w:t xml:space="preserve">. Stato, sez. III, 28 settembre 2018, n. 5568). </w:t>
      </w:r>
      <w:r w:rsidRPr="008B3F4B">
        <w:rPr>
          <w:rFonts w:asciiTheme="minorHAnsi" w:eastAsia="Times New Roman" w:hAnsiTheme="minorHAnsi" w:cstheme="minorHAnsi"/>
          <w:color w:val="3D3B39"/>
          <w:lang w:eastAsia="it-IT"/>
        </w:rPr>
        <w:br/>
        <w:t>Ha precisato la giurisprudenza amministrativa, infatti, che il citato comma 6 dell’art. 68 del d.lgs. n. 50/2016, a sua volta riproduttivo dell'art. 60, paragrafo 4, della direttiva 2014/25, deve essere interpretato nel senso che, “</w:t>
      </w:r>
      <w:r w:rsidRPr="008B3F4B">
        <w:rPr>
          <w:rFonts w:asciiTheme="minorHAnsi" w:eastAsia="Times New Roman" w:hAnsiTheme="minorHAnsi" w:cstheme="minorHAnsi"/>
          <w:i/>
          <w:iCs/>
          <w:color w:val="3D3B39"/>
          <w:lang w:eastAsia="it-IT"/>
        </w:rPr>
        <w:t>quando le specifiche tecniche che figurano nei documenti di gara fanno riferimento ad un marchio</w:t>
      </w:r>
      <w:r w:rsidRPr="008B3F4B">
        <w:rPr>
          <w:rFonts w:asciiTheme="minorHAnsi" w:eastAsia="Times New Roman" w:hAnsiTheme="minorHAnsi" w:cstheme="minorHAnsi"/>
          <w:color w:val="3D3B39"/>
          <w:lang w:eastAsia="it-IT"/>
        </w:rPr>
        <w:t> […] </w:t>
      </w:r>
      <w:r w:rsidRPr="008B3F4B">
        <w:rPr>
          <w:rFonts w:asciiTheme="minorHAnsi" w:eastAsia="Times New Roman" w:hAnsiTheme="minorHAnsi" w:cstheme="minorHAnsi"/>
          <w:i/>
          <w:iCs/>
          <w:color w:val="3D3B39"/>
          <w:lang w:eastAsia="it-IT"/>
        </w:rPr>
        <w:t>l’ente aggiudicatore deve esigere che l’offerente fornisca, già nella sua offerta, la prova dell’equivalenza dei prodotti che propone rispetto a quelli definiti nelle citate specifiche tecniche</w:t>
      </w:r>
      <w:r w:rsidRPr="008B3F4B">
        <w:rPr>
          <w:rFonts w:asciiTheme="minorHAnsi" w:eastAsia="Times New Roman" w:hAnsiTheme="minorHAnsi" w:cstheme="minorHAnsi"/>
          <w:color w:val="3D3B39"/>
          <w:lang w:eastAsia="it-IT"/>
        </w:rPr>
        <w:t>” (</w:t>
      </w:r>
      <w:proofErr w:type="spellStart"/>
      <w:r w:rsidRPr="008B3F4B">
        <w:rPr>
          <w:rFonts w:asciiTheme="minorHAnsi" w:eastAsia="Times New Roman" w:hAnsiTheme="minorHAnsi" w:cstheme="minorHAnsi"/>
          <w:color w:val="3D3B39"/>
          <w:lang w:eastAsia="it-IT"/>
        </w:rPr>
        <w:t>Cons</w:t>
      </w:r>
      <w:proofErr w:type="spellEnd"/>
      <w:r w:rsidRPr="008B3F4B">
        <w:rPr>
          <w:rFonts w:asciiTheme="minorHAnsi" w:eastAsia="Times New Roman" w:hAnsiTheme="minorHAnsi" w:cstheme="minorHAnsi"/>
          <w:color w:val="3D3B39"/>
          <w:lang w:eastAsia="it-IT"/>
        </w:rPr>
        <w:t xml:space="preserve">. Stato, sez. V, 18 febbraio 2019, n. 1100). </w:t>
      </w:r>
      <w:r w:rsidRPr="008B3F4B">
        <w:rPr>
          <w:rFonts w:asciiTheme="minorHAnsi" w:eastAsia="Times New Roman" w:hAnsiTheme="minorHAnsi" w:cstheme="minorHAnsi"/>
          <w:color w:val="3D3B39"/>
          <w:lang w:eastAsia="it-IT"/>
        </w:rPr>
        <w:br/>
        <w:t xml:space="preserve">In aderenza a tale principio e considerando che il disposto di cui all’art. 68 citato ha forza </w:t>
      </w:r>
      <w:proofErr w:type="spellStart"/>
      <w:r w:rsidRPr="008B3F4B">
        <w:rPr>
          <w:rFonts w:asciiTheme="minorHAnsi" w:eastAsia="Times New Roman" w:hAnsiTheme="minorHAnsi" w:cstheme="minorHAnsi"/>
          <w:color w:val="3D3B39"/>
          <w:lang w:eastAsia="it-IT"/>
        </w:rPr>
        <w:t>eterointegrante</w:t>
      </w:r>
      <w:proofErr w:type="spellEnd"/>
      <w:r w:rsidRPr="008B3F4B">
        <w:rPr>
          <w:rFonts w:asciiTheme="minorHAnsi" w:eastAsia="Times New Roman" w:hAnsiTheme="minorHAnsi" w:cstheme="minorHAnsi"/>
          <w:color w:val="3D3B39"/>
          <w:lang w:eastAsia="it-IT"/>
        </w:rPr>
        <w:t xml:space="preserve"> della legge di gara, va diagnosticata la fondatezza della censura sollevata con il primo motivo aggiunto di ricorso, dal momento che l’appalto (</w:t>
      </w:r>
      <w:proofErr w:type="spellStart"/>
      <w:r w:rsidRPr="008B3F4B">
        <w:rPr>
          <w:rFonts w:asciiTheme="minorHAnsi" w:eastAsia="Times New Roman" w:hAnsiTheme="minorHAnsi" w:cstheme="minorHAnsi"/>
          <w:i/>
          <w:iCs/>
          <w:color w:val="3D3B39"/>
          <w:lang w:eastAsia="it-IT"/>
        </w:rPr>
        <w:t>recte</w:t>
      </w:r>
      <w:proofErr w:type="spellEnd"/>
      <w:r w:rsidRPr="008B3F4B">
        <w:rPr>
          <w:rFonts w:asciiTheme="minorHAnsi" w:eastAsia="Times New Roman" w:hAnsiTheme="minorHAnsi" w:cstheme="minorHAnsi"/>
          <w:color w:val="3D3B39"/>
          <w:lang w:eastAsia="it-IT"/>
        </w:rPr>
        <w:t xml:space="preserve">: il lotto che forma oggetto di contestazione) è stato aggiudicato a OMISSIS S.p.a., malgrado questa non avesse fornito al momento dell'offerta la prova dell’equivalenza del prodotto offerto rispetto al modello “Spotorno” indicato dalla stazione appaltante. </w:t>
      </w:r>
      <w:r w:rsidRPr="008B3F4B">
        <w:rPr>
          <w:rFonts w:asciiTheme="minorHAnsi" w:eastAsia="Times New Roman" w:hAnsiTheme="minorHAnsi" w:cstheme="minorHAnsi"/>
          <w:color w:val="3D3B39"/>
          <w:lang w:eastAsia="it-IT"/>
        </w:rPr>
        <w:br/>
        <w:t xml:space="preserve">6) Analoga diagnosi di fondatezza si impone relativamente alle censure dedotte con il secondo motivo aggiunto di OMISSIS S.r.l., concernenti il mancato ricalcolo dei punteggi assegnati alle uniche due offerte rimaste in gara. </w:t>
      </w:r>
      <w:r w:rsidRPr="008B3F4B">
        <w:rPr>
          <w:rFonts w:asciiTheme="minorHAnsi" w:eastAsia="Times New Roman" w:hAnsiTheme="minorHAnsi" w:cstheme="minorHAnsi"/>
          <w:color w:val="3D3B39"/>
          <w:lang w:eastAsia="it-IT"/>
        </w:rPr>
        <w:br/>
        <w:t xml:space="preserve">Ciò avrebbe comportato l’alterazione del doveroso equilibrio tra il peso del fattore qualità rispetto al fattore prezzo, con il risultato di favorire in maniera decisiva la concorrente che aveva presentato l’offerta più bassa, indipendentemente dal valore della sua offerta tecnica. </w:t>
      </w:r>
      <w:r w:rsidRPr="008B3F4B">
        <w:rPr>
          <w:rFonts w:asciiTheme="minorHAnsi" w:eastAsia="Times New Roman" w:hAnsiTheme="minorHAnsi" w:cstheme="minorHAnsi"/>
          <w:color w:val="3D3B39"/>
          <w:lang w:eastAsia="it-IT"/>
        </w:rPr>
        <w:br/>
        <w:t>L’esclusione delle altre sei offerte avrebbe imposto, invece, di ricalcolare il punteggio economico, facendo applicazione della specifica regola che la legge di gara aveva previsto, proprio al fine di “</w:t>
      </w:r>
      <w:r w:rsidRPr="008B3F4B">
        <w:rPr>
          <w:rFonts w:asciiTheme="minorHAnsi" w:eastAsia="Times New Roman" w:hAnsiTheme="minorHAnsi" w:cstheme="minorHAnsi"/>
          <w:i/>
          <w:iCs/>
          <w:color w:val="3D3B39"/>
          <w:lang w:eastAsia="it-IT"/>
        </w:rPr>
        <w:t>non frustrare la ratio del metodo di aggiudicazione adottato</w:t>
      </w:r>
      <w:r w:rsidRPr="008B3F4B">
        <w:rPr>
          <w:rFonts w:asciiTheme="minorHAnsi" w:eastAsia="Times New Roman" w:hAnsiTheme="minorHAnsi" w:cstheme="minorHAnsi"/>
          <w:color w:val="3D3B39"/>
          <w:lang w:eastAsia="it-IT"/>
        </w:rPr>
        <w:t xml:space="preserve">”, per il caso in cui le offerte da valutare fossero soltanto due (cfr. disciplinare di gara, pag. 35). </w:t>
      </w:r>
      <w:r w:rsidRPr="008B3F4B">
        <w:rPr>
          <w:rFonts w:asciiTheme="minorHAnsi" w:eastAsia="Times New Roman" w:hAnsiTheme="minorHAnsi" w:cstheme="minorHAnsi"/>
          <w:color w:val="3D3B39"/>
          <w:lang w:eastAsia="it-IT"/>
        </w:rPr>
        <w:br/>
        <w:t>La stazione appaltante ha ritenuto che tale opzione procedurale fosse preclusa dall’art. 95, comma 15, del d.lgs. n. 50/2016, secondo cui “</w:t>
      </w:r>
      <w:r w:rsidRPr="008B3F4B">
        <w:rPr>
          <w:rFonts w:asciiTheme="minorHAnsi" w:eastAsia="Times New Roman" w:hAnsiTheme="minorHAnsi" w:cstheme="minorHAnsi"/>
          <w:i/>
          <w:iCs/>
          <w:color w:val="3D3B39"/>
          <w:lang w:eastAsia="it-IT"/>
        </w:rPr>
        <w:t>ogni variazione che intervenga, anche in conseguenza di una pronuncia giurisdizionale, successivamente alla fase di ammissione, regolarizzazione o esclusione delle offerte non rileva ai fini del calcolo di medie nella procedura, né per l’individuazione della soglia di anomalia delle offerte</w:t>
      </w:r>
      <w:r w:rsidRPr="008B3F4B">
        <w:rPr>
          <w:rFonts w:asciiTheme="minorHAnsi" w:eastAsia="Times New Roman" w:hAnsiTheme="minorHAnsi" w:cstheme="minorHAnsi"/>
          <w:color w:val="3D3B39"/>
          <w:lang w:eastAsia="it-IT"/>
        </w:rPr>
        <w:t xml:space="preserve">”. </w:t>
      </w:r>
      <w:r w:rsidRPr="008B3F4B">
        <w:rPr>
          <w:rFonts w:asciiTheme="minorHAnsi" w:eastAsia="Times New Roman" w:hAnsiTheme="minorHAnsi" w:cstheme="minorHAnsi"/>
          <w:color w:val="3D3B39"/>
          <w:lang w:eastAsia="it-IT"/>
        </w:rPr>
        <w:br/>
        <w:t>E’ stata fatta concreta applicazione, cioè, del cosiddetto principio di “invarianza della soglia” che, a tutela dell’esigenza di garantire la celerità dell’affidamento e la stabilità degli esiti della gara, sancisce l’</w:t>
      </w:r>
      <w:proofErr w:type="spellStart"/>
      <w:r w:rsidRPr="008B3F4B">
        <w:rPr>
          <w:rFonts w:asciiTheme="minorHAnsi" w:eastAsia="Times New Roman" w:hAnsiTheme="minorHAnsi" w:cstheme="minorHAnsi"/>
          <w:color w:val="3D3B39"/>
          <w:lang w:eastAsia="it-IT"/>
        </w:rPr>
        <w:t>immodificabilità</w:t>
      </w:r>
      <w:proofErr w:type="spellEnd"/>
      <w:r w:rsidRPr="008B3F4B">
        <w:rPr>
          <w:rFonts w:asciiTheme="minorHAnsi" w:eastAsia="Times New Roman" w:hAnsiTheme="minorHAnsi" w:cstheme="minorHAnsi"/>
          <w:color w:val="3D3B39"/>
          <w:lang w:eastAsia="it-IT"/>
        </w:rPr>
        <w:t xml:space="preserve"> della graduatoria e l’irrilevanza delle sopravvenienze, pur se determinate da vicende giudiziarie. </w:t>
      </w:r>
      <w:r w:rsidRPr="008B3F4B">
        <w:rPr>
          <w:rFonts w:asciiTheme="minorHAnsi" w:eastAsia="Times New Roman" w:hAnsiTheme="minorHAnsi" w:cstheme="minorHAnsi"/>
          <w:color w:val="3D3B39"/>
          <w:lang w:eastAsia="it-IT"/>
        </w:rPr>
        <w:br/>
        <w:t xml:space="preserve">Il tutto allo scopo di evitare contenziosi strumentali, promossi al solo fine di rimettere in discussione, per il tramite indiretto della modifica della platea dei concorrenti, il calcolo delle medie e la soglia di anomalia una volta che siano state rese note le offerte e, quindi, possano essere apprezzati gli effetti che esse producono sulle medie e sulla soglia predette. </w:t>
      </w:r>
      <w:r w:rsidRPr="008B3F4B">
        <w:rPr>
          <w:rFonts w:asciiTheme="minorHAnsi" w:eastAsia="Times New Roman" w:hAnsiTheme="minorHAnsi" w:cstheme="minorHAnsi"/>
          <w:color w:val="3D3B39"/>
          <w:lang w:eastAsia="it-IT"/>
        </w:rPr>
        <w:br/>
        <w:t xml:space="preserve">Nel caso in esame, non ricorrono i presupposti che giustificano il “blocco della graduatoria” realizzato dalla stazione appaltante. </w:t>
      </w:r>
      <w:r w:rsidRPr="008B3F4B">
        <w:rPr>
          <w:rFonts w:asciiTheme="minorHAnsi" w:eastAsia="Times New Roman" w:hAnsiTheme="minorHAnsi" w:cstheme="minorHAnsi"/>
          <w:color w:val="3D3B39"/>
          <w:lang w:eastAsia="it-IT"/>
        </w:rPr>
        <w:br/>
        <w:t xml:space="preserve">Infatti, anche prescindendo dal carattere evidentemente non strumentale dell’istanza di autotutela proposta dall’odierna ricorrente (intesa a conseguire l’aggiudicazione della gara tramite l’esclusione di tutte le offerte concorrenti), l’accoglimento dell’istanza medesima non implicava la considerazione di “valori </w:t>
      </w:r>
      <w:r w:rsidRPr="008B3F4B">
        <w:rPr>
          <w:rFonts w:asciiTheme="minorHAnsi" w:eastAsia="Times New Roman" w:hAnsiTheme="minorHAnsi" w:cstheme="minorHAnsi"/>
          <w:color w:val="3D3B39"/>
          <w:lang w:eastAsia="it-IT"/>
        </w:rPr>
        <w:lastRenderedPageBreak/>
        <w:t xml:space="preserve">medi” né, tantomeno, la rideterminazione dell’eventuale soglia di anomalia, ma solo l’applicazione della formula prevista dal disciplinare in relazione alle due offerte rimaste in gara, necessaria per garantire la concreta operatività del criterio dell’offerta economicamente più vantaggiosa. </w:t>
      </w:r>
      <w:r w:rsidRPr="008B3F4B">
        <w:rPr>
          <w:rFonts w:asciiTheme="minorHAnsi" w:eastAsia="Times New Roman" w:hAnsiTheme="minorHAnsi" w:cstheme="minorHAnsi"/>
          <w:color w:val="3D3B39"/>
          <w:lang w:eastAsia="it-IT"/>
        </w:rPr>
        <w:br/>
        <w:t xml:space="preserve">7) Per tali ragioni, è fondato e, pertanto, deve essere accolto il ricorso per motivi aggiunti proposto da OMISSIS S.r.l. </w:t>
      </w:r>
      <w:r w:rsidRPr="008B3F4B">
        <w:rPr>
          <w:rFonts w:asciiTheme="minorHAnsi" w:eastAsia="Times New Roman" w:hAnsiTheme="minorHAnsi" w:cstheme="minorHAnsi"/>
          <w:color w:val="3D3B39"/>
          <w:lang w:eastAsia="it-IT"/>
        </w:rPr>
        <w:br/>
        <w:t xml:space="preserve">8) Occorre procedere, a questo punto, allo scrutinio delle censure sollevate nei confronti dello stesso provvedimento da OMISSIS S.r.l. con il ricorso n. 800/2018. </w:t>
      </w:r>
      <w:r w:rsidRPr="008B3F4B">
        <w:rPr>
          <w:rFonts w:asciiTheme="minorHAnsi" w:eastAsia="Times New Roman" w:hAnsiTheme="minorHAnsi" w:cstheme="minorHAnsi"/>
          <w:color w:val="3D3B39"/>
          <w:lang w:eastAsia="it-IT"/>
        </w:rPr>
        <w:br/>
        <w:t xml:space="preserve">La prima doglianza concerne l’omissione della comunicazione di avvio del procedimento volto all’annullamento in autotutela della prima aggiudicazione. </w:t>
      </w:r>
      <w:r w:rsidRPr="008B3F4B">
        <w:rPr>
          <w:rFonts w:asciiTheme="minorHAnsi" w:eastAsia="Times New Roman" w:hAnsiTheme="minorHAnsi" w:cstheme="minorHAnsi"/>
          <w:color w:val="3D3B39"/>
          <w:lang w:eastAsia="it-IT"/>
        </w:rPr>
        <w:br/>
        <w:t xml:space="preserve">Essa è fondata. </w:t>
      </w:r>
      <w:r w:rsidRPr="008B3F4B">
        <w:rPr>
          <w:rFonts w:asciiTheme="minorHAnsi" w:eastAsia="Times New Roman" w:hAnsiTheme="minorHAnsi" w:cstheme="minorHAnsi"/>
          <w:color w:val="3D3B39"/>
          <w:lang w:eastAsia="it-IT"/>
        </w:rPr>
        <w:br/>
        <w:t>Secondo giurisprudenza pacifica, qualora intenda procedere al riesame in autotutela del provvedimento di aggiudicazione (definitiva) della procedura di affidamento di un contratto pubblico, l’Amministrazione è tenuta ad adempiere alla prescrizione imposta dall’art. 7 della legge n. 241/1990, provvedendo alla comunicazione dell’avvio del procedimento nei confronti dell’impresa aggiudicataria la cui sfera giuridica potrebbe risultare incisa dagli effetti sfavorevoli derivanti dall’adozione dell’atto conclusivo (cfr., </w:t>
      </w:r>
      <w:r w:rsidRPr="008B3F4B">
        <w:rPr>
          <w:rFonts w:asciiTheme="minorHAnsi" w:eastAsia="Times New Roman" w:hAnsiTheme="minorHAnsi" w:cstheme="minorHAnsi"/>
          <w:i/>
          <w:iCs/>
          <w:color w:val="3D3B39"/>
          <w:lang w:eastAsia="it-IT"/>
        </w:rPr>
        <w:t xml:space="preserve">ex </w:t>
      </w:r>
      <w:proofErr w:type="spellStart"/>
      <w:r w:rsidRPr="008B3F4B">
        <w:rPr>
          <w:rFonts w:asciiTheme="minorHAnsi" w:eastAsia="Times New Roman" w:hAnsiTheme="minorHAnsi" w:cstheme="minorHAnsi"/>
          <w:i/>
          <w:iCs/>
          <w:color w:val="3D3B39"/>
          <w:lang w:eastAsia="it-IT"/>
        </w:rPr>
        <w:t>multis</w:t>
      </w:r>
      <w:proofErr w:type="spellEnd"/>
      <w:r w:rsidRPr="008B3F4B">
        <w:rPr>
          <w:rFonts w:asciiTheme="minorHAnsi" w:eastAsia="Times New Roman" w:hAnsiTheme="minorHAnsi" w:cstheme="minorHAnsi"/>
          <w:color w:val="3D3B39"/>
          <w:lang w:eastAsia="it-IT"/>
        </w:rPr>
        <w:t xml:space="preserve">, </w:t>
      </w:r>
      <w:proofErr w:type="spellStart"/>
      <w:r w:rsidRPr="008B3F4B">
        <w:rPr>
          <w:rFonts w:asciiTheme="minorHAnsi" w:eastAsia="Times New Roman" w:hAnsiTheme="minorHAnsi" w:cstheme="minorHAnsi"/>
          <w:color w:val="3D3B39"/>
          <w:lang w:eastAsia="it-IT"/>
        </w:rPr>
        <w:t>Cons</w:t>
      </w:r>
      <w:proofErr w:type="spellEnd"/>
      <w:r w:rsidRPr="008B3F4B">
        <w:rPr>
          <w:rFonts w:asciiTheme="minorHAnsi" w:eastAsia="Times New Roman" w:hAnsiTheme="minorHAnsi" w:cstheme="minorHAnsi"/>
          <w:color w:val="3D3B39"/>
          <w:lang w:eastAsia="it-IT"/>
        </w:rPr>
        <w:t xml:space="preserve">. Stato, sez. IV, 12 marzo 2015, n. 1279). </w:t>
      </w:r>
      <w:r w:rsidRPr="008B3F4B">
        <w:rPr>
          <w:rFonts w:asciiTheme="minorHAnsi" w:eastAsia="Times New Roman" w:hAnsiTheme="minorHAnsi" w:cstheme="minorHAnsi"/>
          <w:color w:val="3D3B39"/>
          <w:lang w:eastAsia="it-IT"/>
        </w:rPr>
        <w:br/>
        <w:t xml:space="preserve">Nel caso in esame, non essendo contestata l’omissione della comunicazione di avvio del procedimento finalizzato all’annullamento dell’aggiudicazione né risultando indicate nell’atto circostanze atte a rendere conto della sussistenza di ragioni di particolare speditezza, risulta violato l’art. 7 della legge n. 241/1990. </w:t>
      </w:r>
      <w:r w:rsidRPr="008B3F4B">
        <w:rPr>
          <w:rFonts w:asciiTheme="minorHAnsi" w:eastAsia="Times New Roman" w:hAnsiTheme="minorHAnsi" w:cstheme="minorHAnsi"/>
          <w:color w:val="3D3B39"/>
          <w:lang w:eastAsia="it-IT"/>
        </w:rPr>
        <w:br/>
        <w:t>Non si ravvisano, infine, i presupposti per ritenere applicabile la disposizione di cui all’art. 21-</w:t>
      </w:r>
      <w:r w:rsidRPr="008B3F4B">
        <w:rPr>
          <w:rFonts w:asciiTheme="minorHAnsi" w:eastAsia="Times New Roman" w:hAnsiTheme="minorHAnsi" w:cstheme="minorHAnsi"/>
          <w:i/>
          <w:iCs/>
          <w:color w:val="3D3B39"/>
          <w:lang w:eastAsia="it-IT"/>
        </w:rPr>
        <w:t>octies</w:t>
      </w:r>
      <w:r w:rsidRPr="008B3F4B">
        <w:rPr>
          <w:rFonts w:asciiTheme="minorHAnsi" w:eastAsia="Times New Roman" w:hAnsiTheme="minorHAnsi" w:cstheme="minorHAnsi"/>
          <w:color w:val="3D3B39"/>
          <w:lang w:eastAsia="it-IT"/>
        </w:rPr>
        <w:t xml:space="preserve"> della legge n. 241/1990 in quanto, a fronte della natura discrezionale del provvedimento in questione, non può certo escludersi che l’apporto partecipativo del privato potesse incidere sul suo contenuto dispositivo. </w:t>
      </w:r>
      <w:r w:rsidRPr="008B3F4B">
        <w:rPr>
          <w:rFonts w:asciiTheme="minorHAnsi" w:eastAsia="Times New Roman" w:hAnsiTheme="minorHAnsi" w:cstheme="minorHAnsi"/>
          <w:color w:val="3D3B39"/>
          <w:lang w:eastAsia="it-IT"/>
        </w:rPr>
        <w:br/>
        <w:t>9) Nel merito, l’aggiudicazione a favore di OMISSIS S.r.l. è stata annullata in quanto “</w:t>
      </w:r>
      <w:r w:rsidRPr="008B3F4B">
        <w:rPr>
          <w:rFonts w:asciiTheme="minorHAnsi" w:eastAsia="Times New Roman" w:hAnsiTheme="minorHAnsi" w:cstheme="minorHAnsi"/>
          <w:i/>
          <w:iCs/>
          <w:color w:val="3D3B39"/>
          <w:lang w:eastAsia="it-IT"/>
        </w:rPr>
        <w:t>i cotili non sono di metallo trabecolare ma titanio poroso, non corrispondenti a quanto richiesto in capitolato tecnico</w:t>
      </w:r>
      <w:r w:rsidRPr="008B3F4B">
        <w:rPr>
          <w:rFonts w:asciiTheme="minorHAnsi" w:eastAsia="Times New Roman" w:hAnsiTheme="minorHAnsi" w:cstheme="minorHAnsi"/>
          <w:color w:val="3D3B39"/>
          <w:lang w:eastAsia="it-IT"/>
        </w:rPr>
        <w:t xml:space="preserve">”. </w:t>
      </w:r>
      <w:r w:rsidRPr="008B3F4B">
        <w:rPr>
          <w:rFonts w:asciiTheme="minorHAnsi" w:eastAsia="Times New Roman" w:hAnsiTheme="minorHAnsi" w:cstheme="minorHAnsi"/>
          <w:color w:val="3D3B39"/>
          <w:lang w:eastAsia="it-IT"/>
        </w:rPr>
        <w:br/>
        <w:t>Quest’ultimo documento riportava la seguente indicazione: “</w:t>
      </w:r>
      <w:r w:rsidRPr="008B3F4B">
        <w:rPr>
          <w:rFonts w:asciiTheme="minorHAnsi" w:eastAsia="Times New Roman" w:hAnsiTheme="minorHAnsi" w:cstheme="minorHAnsi"/>
          <w:i/>
          <w:iCs/>
          <w:color w:val="3D3B39"/>
          <w:lang w:eastAsia="it-IT"/>
        </w:rPr>
        <w:t>Cotile a press-</w:t>
      </w:r>
      <w:proofErr w:type="spellStart"/>
      <w:r w:rsidRPr="008B3F4B">
        <w:rPr>
          <w:rFonts w:asciiTheme="minorHAnsi" w:eastAsia="Times New Roman" w:hAnsiTheme="minorHAnsi" w:cstheme="minorHAnsi"/>
          <w:i/>
          <w:iCs/>
          <w:color w:val="3D3B39"/>
          <w:lang w:eastAsia="it-IT"/>
        </w:rPr>
        <w:t>fit</w:t>
      </w:r>
      <w:proofErr w:type="spellEnd"/>
      <w:r w:rsidRPr="008B3F4B">
        <w:rPr>
          <w:rFonts w:asciiTheme="minorHAnsi" w:eastAsia="Times New Roman" w:hAnsiTheme="minorHAnsi" w:cstheme="minorHAnsi"/>
          <w:i/>
          <w:iCs/>
          <w:color w:val="3D3B39"/>
          <w:lang w:eastAsia="it-IT"/>
        </w:rPr>
        <w:t xml:space="preserve"> con metallo trabecolare</w:t>
      </w:r>
      <w:r w:rsidRPr="008B3F4B">
        <w:rPr>
          <w:rFonts w:asciiTheme="minorHAnsi" w:eastAsia="Times New Roman" w:hAnsiTheme="minorHAnsi" w:cstheme="minorHAnsi"/>
          <w:color w:val="3D3B39"/>
          <w:lang w:eastAsia="it-IT"/>
        </w:rPr>
        <w:t xml:space="preserve">”. </w:t>
      </w:r>
      <w:r w:rsidRPr="008B3F4B">
        <w:rPr>
          <w:rFonts w:asciiTheme="minorHAnsi" w:eastAsia="Times New Roman" w:hAnsiTheme="minorHAnsi" w:cstheme="minorHAnsi"/>
          <w:color w:val="3D3B39"/>
          <w:lang w:eastAsia="it-IT"/>
        </w:rPr>
        <w:br/>
        <w:t xml:space="preserve">Le specifiche tecniche non richiedevano, quindi, che il cotile fosse realizzato in tantalio (come pretende la controparte) né da altro specifico metallo; tantomeno era espressamente esclusa la possibilità di offrire protesi con il cotile composto da titanio. </w:t>
      </w:r>
      <w:r w:rsidRPr="008B3F4B">
        <w:rPr>
          <w:rFonts w:asciiTheme="minorHAnsi" w:eastAsia="Times New Roman" w:hAnsiTheme="minorHAnsi" w:cstheme="minorHAnsi"/>
          <w:color w:val="3D3B39"/>
          <w:lang w:eastAsia="it-IT"/>
        </w:rPr>
        <w:br/>
        <w:t xml:space="preserve">Era richiesto solamente che tale elemento fosse costituito da “metallo trabecolare”, nozione che identifica un metallo avente caratteristiche atte a richiamare la struttura spugnosa della parte interna dell’osso. </w:t>
      </w:r>
      <w:r w:rsidRPr="008B3F4B">
        <w:rPr>
          <w:rFonts w:asciiTheme="minorHAnsi" w:eastAsia="Times New Roman" w:hAnsiTheme="minorHAnsi" w:cstheme="minorHAnsi"/>
          <w:color w:val="3D3B39"/>
          <w:lang w:eastAsia="it-IT"/>
        </w:rPr>
        <w:br/>
        <w:t xml:space="preserve">Non essendo stato dimostrato che le caratteristiche del titanio non consentano di ricondurlo alla categoria del “metallo trabecolare”, risulta illegittima l’esclusione fondata su tale circostanza. </w:t>
      </w:r>
      <w:r w:rsidRPr="008B3F4B">
        <w:rPr>
          <w:rFonts w:asciiTheme="minorHAnsi" w:eastAsia="Times New Roman" w:hAnsiTheme="minorHAnsi" w:cstheme="minorHAnsi"/>
          <w:color w:val="3D3B39"/>
          <w:lang w:eastAsia="it-IT"/>
        </w:rPr>
        <w:br/>
        <w:t xml:space="preserve">10) Essendo state esaminate tutte le questioni rilevanti ai fini del decidere, anche il ricorso n. 800/2018 è fondato e, pertanto, deve essere accolto. </w:t>
      </w:r>
      <w:r w:rsidRPr="008B3F4B">
        <w:rPr>
          <w:rFonts w:asciiTheme="minorHAnsi" w:eastAsia="Times New Roman" w:hAnsiTheme="minorHAnsi" w:cstheme="minorHAnsi"/>
          <w:color w:val="3D3B39"/>
          <w:lang w:eastAsia="it-IT"/>
        </w:rPr>
        <w:br/>
        <w:t xml:space="preserve">11) L’accoglimento delle domande proposte in principalità dalle due ricorrenti comporta l’annullamento dell’impugnato provvedimento n. 394 del 6 novembre 2018, con cui è stata annullata in autotutela la prima aggiudicazione e contestualmente approvata la nuova graduatoria delle offerte per il lotto n. 8 della gara d’appalto. </w:t>
      </w:r>
      <w:r w:rsidRPr="008B3F4B">
        <w:rPr>
          <w:rFonts w:asciiTheme="minorHAnsi" w:eastAsia="Times New Roman" w:hAnsiTheme="minorHAnsi" w:cstheme="minorHAnsi"/>
          <w:color w:val="3D3B39"/>
          <w:lang w:eastAsia="it-IT"/>
        </w:rPr>
        <w:br/>
        <w:t xml:space="preserve">Non risultando intervenuta la stipulazione del contratto d’appalto, non occorre provvedere, invece, sulle domande di inefficacia dello stesso e di risarcimento dei danni. </w:t>
      </w:r>
      <w:r w:rsidRPr="008B3F4B">
        <w:rPr>
          <w:rFonts w:asciiTheme="minorHAnsi" w:eastAsia="Times New Roman" w:hAnsiTheme="minorHAnsi" w:cstheme="minorHAnsi"/>
          <w:color w:val="3D3B39"/>
          <w:lang w:eastAsia="it-IT"/>
        </w:rPr>
        <w:br/>
        <w:t xml:space="preserve">12) Le spese processuali, equitativamente liquidate in dispositivo, seguono la soccombenza nei confronti della stazione appaltante, mentre possono essere compensate nei confronti delle Società </w:t>
      </w:r>
      <w:proofErr w:type="spellStart"/>
      <w:r w:rsidRPr="008B3F4B">
        <w:rPr>
          <w:rFonts w:asciiTheme="minorHAnsi" w:eastAsia="Times New Roman" w:hAnsiTheme="minorHAnsi" w:cstheme="minorHAnsi"/>
          <w:color w:val="3D3B39"/>
          <w:lang w:eastAsia="it-IT"/>
        </w:rPr>
        <w:t>controinteressate</w:t>
      </w:r>
      <w:proofErr w:type="spellEnd"/>
      <w:r w:rsidRPr="008B3F4B">
        <w:rPr>
          <w:rFonts w:asciiTheme="minorHAnsi" w:eastAsia="Times New Roman" w:hAnsiTheme="minorHAnsi" w:cstheme="minorHAnsi"/>
          <w:color w:val="3D3B39"/>
          <w:lang w:eastAsia="it-IT"/>
        </w:rPr>
        <w:t xml:space="preserve">. </w:t>
      </w:r>
    </w:p>
    <w:p w:rsidR="008B3F4B" w:rsidRPr="008B3F4B" w:rsidRDefault="008B3F4B" w:rsidP="008B3F4B">
      <w:pPr>
        <w:spacing w:after="265"/>
        <w:jc w:val="center"/>
        <w:rPr>
          <w:rFonts w:asciiTheme="minorHAnsi" w:eastAsia="Times New Roman" w:hAnsiTheme="minorHAnsi" w:cstheme="minorHAnsi"/>
          <w:color w:val="3D3B39"/>
          <w:lang w:eastAsia="it-IT"/>
        </w:rPr>
      </w:pPr>
      <w:r w:rsidRPr="008B3F4B">
        <w:rPr>
          <w:rFonts w:asciiTheme="minorHAnsi" w:eastAsia="Times New Roman" w:hAnsiTheme="minorHAnsi" w:cstheme="minorHAnsi"/>
          <w:b/>
          <w:bCs/>
          <w:color w:val="3D3B39"/>
          <w:lang w:eastAsia="it-IT"/>
        </w:rPr>
        <w:t>P.Q.M.</w:t>
      </w:r>
    </w:p>
    <w:p w:rsidR="008B3F4B" w:rsidRPr="008B3F4B" w:rsidRDefault="008B3F4B" w:rsidP="008B3F4B">
      <w:pPr>
        <w:spacing w:after="265"/>
        <w:rPr>
          <w:rFonts w:asciiTheme="minorHAnsi" w:eastAsia="Times New Roman" w:hAnsiTheme="minorHAnsi" w:cstheme="minorHAnsi"/>
          <w:color w:val="3D3B39"/>
          <w:lang w:eastAsia="it-IT"/>
        </w:rPr>
      </w:pPr>
      <w:r w:rsidRPr="008B3F4B">
        <w:rPr>
          <w:rFonts w:asciiTheme="minorHAnsi" w:eastAsia="Times New Roman" w:hAnsiTheme="minorHAnsi" w:cstheme="minorHAnsi"/>
          <w:color w:val="3D3B39"/>
          <w:lang w:eastAsia="it-IT"/>
        </w:rPr>
        <w:t xml:space="preserve">Il Tribunale Amministrativo Regionale per la Liguria (Sezione Prima), definitivamente pronunciando: </w:t>
      </w:r>
      <w:r w:rsidRPr="008B3F4B">
        <w:rPr>
          <w:rFonts w:asciiTheme="minorHAnsi" w:eastAsia="Times New Roman" w:hAnsiTheme="minorHAnsi" w:cstheme="minorHAnsi"/>
          <w:color w:val="3D3B39"/>
          <w:lang w:eastAsia="it-IT"/>
        </w:rPr>
        <w:br/>
        <w:t xml:space="preserve">- riunisce i ricorsi in epigrafe; </w:t>
      </w:r>
      <w:r w:rsidRPr="008B3F4B">
        <w:rPr>
          <w:rFonts w:asciiTheme="minorHAnsi" w:eastAsia="Times New Roman" w:hAnsiTheme="minorHAnsi" w:cstheme="minorHAnsi"/>
          <w:color w:val="3D3B39"/>
          <w:lang w:eastAsia="it-IT"/>
        </w:rPr>
        <w:br/>
        <w:t xml:space="preserve">- dichiara improcedibile il ricorso n. 654/2018 e accoglie i motivi aggiunti; </w:t>
      </w:r>
      <w:r w:rsidRPr="008B3F4B">
        <w:rPr>
          <w:rFonts w:asciiTheme="minorHAnsi" w:eastAsia="Times New Roman" w:hAnsiTheme="minorHAnsi" w:cstheme="minorHAnsi"/>
          <w:color w:val="3D3B39"/>
          <w:lang w:eastAsia="it-IT"/>
        </w:rPr>
        <w:br/>
        <w:t xml:space="preserve">- accoglie il ricorso n. 800/2018; </w:t>
      </w:r>
      <w:r w:rsidRPr="008B3F4B">
        <w:rPr>
          <w:rFonts w:asciiTheme="minorHAnsi" w:eastAsia="Times New Roman" w:hAnsiTheme="minorHAnsi" w:cstheme="minorHAnsi"/>
          <w:color w:val="3D3B39"/>
          <w:lang w:eastAsia="it-IT"/>
        </w:rPr>
        <w:br/>
        <w:t xml:space="preserve">- per l’effetto, annulla l’impugnata determinazione n. 394 del 6 novembre 2018; </w:t>
      </w:r>
      <w:r w:rsidRPr="008B3F4B">
        <w:rPr>
          <w:rFonts w:asciiTheme="minorHAnsi" w:eastAsia="Times New Roman" w:hAnsiTheme="minorHAnsi" w:cstheme="minorHAnsi"/>
          <w:color w:val="3D3B39"/>
          <w:lang w:eastAsia="it-IT"/>
        </w:rPr>
        <w:br/>
        <w:t xml:space="preserve">- condanna </w:t>
      </w:r>
      <w:proofErr w:type="spellStart"/>
      <w:r w:rsidRPr="008B3F4B">
        <w:rPr>
          <w:rFonts w:asciiTheme="minorHAnsi" w:eastAsia="Times New Roman" w:hAnsiTheme="minorHAnsi" w:cstheme="minorHAnsi"/>
          <w:color w:val="3D3B39"/>
          <w:lang w:eastAsia="it-IT"/>
        </w:rPr>
        <w:t>A.Li.Sa</w:t>
      </w:r>
      <w:proofErr w:type="spellEnd"/>
      <w:r w:rsidRPr="008B3F4B">
        <w:rPr>
          <w:rFonts w:asciiTheme="minorHAnsi" w:eastAsia="Times New Roman" w:hAnsiTheme="minorHAnsi" w:cstheme="minorHAnsi"/>
          <w:color w:val="3D3B39"/>
          <w:lang w:eastAsia="it-IT"/>
        </w:rPr>
        <w:t xml:space="preserve">. al pagamento delle spese di lite che liquida nella somma complessiva di euro 2.500,00 (duemilacinquecento euro), oltre accessori di legge, in favore di ciascuna ricorrente. </w:t>
      </w:r>
      <w:r w:rsidRPr="008B3F4B">
        <w:rPr>
          <w:rFonts w:asciiTheme="minorHAnsi" w:eastAsia="Times New Roman" w:hAnsiTheme="minorHAnsi" w:cstheme="minorHAnsi"/>
          <w:color w:val="3D3B39"/>
          <w:lang w:eastAsia="it-IT"/>
        </w:rPr>
        <w:br/>
      </w:r>
      <w:r w:rsidRPr="008B3F4B">
        <w:rPr>
          <w:rFonts w:asciiTheme="minorHAnsi" w:eastAsia="Times New Roman" w:hAnsiTheme="minorHAnsi" w:cstheme="minorHAnsi"/>
          <w:color w:val="3D3B39"/>
          <w:lang w:eastAsia="it-IT"/>
        </w:rPr>
        <w:lastRenderedPageBreak/>
        <w:t xml:space="preserve">- compensa le spese nei confronti delle Società </w:t>
      </w:r>
      <w:proofErr w:type="spellStart"/>
      <w:r w:rsidRPr="008B3F4B">
        <w:rPr>
          <w:rFonts w:asciiTheme="minorHAnsi" w:eastAsia="Times New Roman" w:hAnsiTheme="minorHAnsi" w:cstheme="minorHAnsi"/>
          <w:color w:val="3D3B39"/>
          <w:lang w:eastAsia="it-IT"/>
        </w:rPr>
        <w:t>controinteressate</w:t>
      </w:r>
      <w:proofErr w:type="spellEnd"/>
      <w:r w:rsidRPr="008B3F4B">
        <w:rPr>
          <w:rFonts w:asciiTheme="minorHAnsi" w:eastAsia="Times New Roman" w:hAnsiTheme="minorHAnsi" w:cstheme="minorHAnsi"/>
          <w:color w:val="3D3B39"/>
          <w:lang w:eastAsia="it-IT"/>
        </w:rPr>
        <w:t xml:space="preserve">. </w:t>
      </w:r>
      <w:r w:rsidRPr="008B3F4B">
        <w:rPr>
          <w:rFonts w:asciiTheme="minorHAnsi" w:eastAsia="Times New Roman" w:hAnsiTheme="minorHAnsi" w:cstheme="minorHAnsi"/>
          <w:color w:val="3D3B39"/>
          <w:lang w:eastAsia="it-IT"/>
        </w:rPr>
        <w:br/>
        <w:t xml:space="preserve">Ordina che la presente sentenza sia eseguita dall’autorità amministrativa. </w:t>
      </w:r>
      <w:r w:rsidRPr="008B3F4B">
        <w:rPr>
          <w:rFonts w:asciiTheme="minorHAnsi" w:eastAsia="Times New Roman" w:hAnsiTheme="minorHAnsi" w:cstheme="minorHAnsi"/>
          <w:color w:val="3D3B39"/>
          <w:lang w:eastAsia="it-IT"/>
        </w:rPr>
        <w:br/>
        <w:t xml:space="preserve">Così deciso in Genova nella camera di consiglio del giorno 27 marzo 2019 con l’intervento dei magistrati: </w:t>
      </w:r>
      <w:r w:rsidRPr="008B3F4B">
        <w:rPr>
          <w:rFonts w:asciiTheme="minorHAnsi" w:eastAsia="Times New Roman" w:hAnsiTheme="minorHAnsi" w:cstheme="minorHAnsi"/>
          <w:color w:val="3D3B39"/>
          <w:lang w:eastAsia="it-IT"/>
        </w:rPr>
        <w:br/>
        <w:t xml:space="preserve">Giuseppe Daniele, Presidente </w:t>
      </w:r>
      <w:r w:rsidRPr="008B3F4B">
        <w:rPr>
          <w:rFonts w:asciiTheme="minorHAnsi" w:eastAsia="Times New Roman" w:hAnsiTheme="minorHAnsi" w:cstheme="minorHAnsi"/>
          <w:color w:val="3D3B39"/>
          <w:lang w:eastAsia="it-IT"/>
        </w:rPr>
        <w:br/>
        <w:t xml:space="preserve">Richard </w:t>
      </w:r>
      <w:proofErr w:type="spellStart"/>
      <w:r w:rsidRPr="008B3F4B">
        <w:rPr>
          <w:rFonts w:asciiTheme="minorHAnsi" w:eastAsia="Times New Roman" w:hAnsiTheme="minorHAnsi" w:cstheme="minorHAnsi"/>
          <w:color w:val="3D3B39"/>
          <w:lang w:eastAsia="it-IT"/>
        </w:rPr>
        <w:t>Goso</w:t>
      </w:r>
      <w:proofErr w:type="spellEnd"/>
      <w:r w:rsidRPr="008B3F4B">
        <w:rPr>
          <w:rFonts w:asciiTheme="minorHAnsi" w:eastAsia="Times New Roman" w:hAnsiTheme="minorHAnsi" w:cstheme="minorHAnsi"/>
          <w:color w:val="3D3B39"/>
          <w:lang w:eastAsia="it-IT"/>
        </w:rPr>
        <w:t xml:space="preserve">, Consigliere, Estensore </w:t>
      </w:r>
      <w:r w:rsidRPr="008B3F4B">
        <w:rPr>
          <w:rFonts w:asciiTheme="minorHAnsi" w:eastAsia="Times New Roman" w:hAnsiTheme="minorHAnsi" w:cstheme="minorHAnsi"/>
          <w:color w:val="3D3B39"/>
          <w:lang w:eastAsia="it-IT"/>
        </w:rPr>
        <w:br/>
        <w:t xml:space="preserve">Paolo Nasini, Referendario </w:t>
      </w:r>
    </w:p>
    <w:p w:rsidR="003965BE" w:rsidRPr="00C33C1E" w:rsidRDefault="003965BE" w:rsidP="00421BC6">
      <w:pPr>
        <w:jc w:val="both"/>
        <w:rPr>
          <w:rFonts w:asciiTheme="minorHAnsi" w:hAnsiTheme="minorHAnsi" w:cstheme="minorHAnsi"/>
        </w:rPr>
      </w:pPr>
    </w:p>
    <w:sectPr w:rsidR="003965BE" w:rsidRPr="00C33C1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DD9"/>
    <w:rsid w:val="000D054E"/>
    <w:rsid w:val="000E2DD9"/>
    <w:rsid w:val="00102155"/>
    <w:rsid w:val="00185045"/>
    <w:rsid w:val="002677A9"/>
    <w:rsid w:val="003965BE"/>
    <w:rsid w:val="00421BC6"/>
    <w:rsid w:val="00875003"/>
    <w:rsid w:val="008B3F4B"/>
    <w:rsid w:val="009B2DF6"/>
    <w:rsid w:val="00B3270E"/>
    <w:rsid w:val="00C33C1E"/>
    <w:rsid w:val="00FE2E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D054E"/>
    <w:pPr>
      <w:spacing w:after="0" w:line="240" w:lineRule="auto"/>
    </w:pPr>
    <w:rPr>
      <w:rFonts w:ascii="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basedOn w:val="Normale"/>
    <w:rsid w:val="000D054E"/>
    <w:pPr>
      <w:autoSpaceDE w:val="0"/>
      <w:autoSpaceDN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D054E"/>
    <w:pPr>
      <w:spacing w:after="0" w:line="240" w:lineRule="auto"/>
    </w:pPr>
    <w:rPr>
      <w:rFonts w:ascii="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basedOn w:val="Normale"/>
    <w:rsid w:val="000D054E"/>
    <w:pPr>
      <w:autoSpaceDE w:val="0"/>
      <w:autoSpaceDN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418339">
      <w:bodyDiv w:val="1"/>
      <w:marLeft w:val="0"/>
      <w:marRight w:val="0"/>
      <w:marTop w:val="0"/>
      <w:marBottom w:val="0"/>
      <w:divBdr>
        <w:top w:val="none" w:sz="0" w:space="0" w:color="auto"/>
        <w:left w:val="none" w:sz="0" w:space="0" w:color="auto"/>
        <w:bottom w:val="none" w:sz="0" w:space="0" w:color="auto"/>
        <w:right w:val="none" w:sz="0" w:space="0" w:color="auto"/>
      </w:divBdr>
      <w:divsChild>
        <w:div w:id="963927478">
          <w:marLeft w:val="0"/>
          <w:marRight w:val="0"/>
          <w:marTop w:val="0"/>
          <w:marBottom w:val="0"/>
          <w:divBdr>
            <w:top w:val="none" w:sz="0" w:space="0" w:color="auto"/>
            <w:left w:val="none" w:sz="0" w:space="0" w:color="auto"/>
            <w:bottom w:val="none" w:sz="0" w:space="0" w:color="auto"/>
            <w:right w:val="none" w:sz="0" w:space="0" w:color="auto"/>
          </w:divBdr>
          <w:divsChild>
            <w:div w:id="630980826">
              <w:marLeft w:val="0"/>
              <w:marRight w:val="0"/>
              <w:marTop w:val="0"/>
              <w:marBottom w:val="0"/>
              <w:divBdr>
                <w:top w:val="none" w:sz="0" w:space="0" w:color="auto"/>
                <w:left w:val="none" w:sz="0" w:space="0" w:color="auto"/>
                <w:bottom w:val="none" w:sz="0" w:space="0" w:color="auto"/>
                <w:right w:val="none" w:sz="0" w:space="0" w:color="auto"/>
              </w:divBdr>
              <w:divsChild>
                <w:div w:id="1025255468">
                  <w:marLeft w:val="-225"/>
                  <w:marRight w:val="-225"/>
                  <w:marTop w:val="0"/>
                  <w:marBottom w:val="0"/>
                  <w:divBdr>
                    <w:top w:val="none" w:sz="0" w:space="0" w:color="auto"/>
                    <w:left w:val="none" w:sz="0" w:space="0" w:color="auto"/>
                    <w:bottom w:val="none" w:sz="0" w:space="0" w:color="auto"/>
                    <w:right w:val="none" w:sz="0" w:space="0" w:color="auto"/>
                  </w:divBdr>
                  <w:divsChild>
                    <w:div w:id="230389263">
                      <w:marLeft w:val="0"/>
                      <w:marRight w:val="0"/>
                      <w:marTop w:val="0"/>
                      <w:marBottom w:val="0"/>
                      <w:divBdr>
                        <w:top w:val="none" w:sz="0" w:space="0" w:color="auto"/>
                        <w:left w:val="none" w:sz="0" w:space="0" w:color="auto"/>
                        <w:bottom w:val="none" w:sz="0" w:space="0" w:color="auto"/>
                        <w:right w:val="none" w:sz="0" w:space="0" w:color="auto"/>
                      </w:divBdr>
                      <w:divsChild>
                        <w:div w:id="2039503959">
                          <w:marLeft w:val="-225"/>
                          <w:marRight w:val="-225"/>
                          <w:marTop w:val="0"/>
                          <w:marBottom w:val="0"/>
                          <w:divBdr>
                            <w:top w:val="none" w:sz="0" w:space="0" w:color="auto"/>
                            <w:left w:val="none" w:sz="0" w:space="0" w:color="auto"/>
                            <w:bottom w:val="none" w:sz="0" w:space="0" w:color="auto"/>
                            <w:right w:val="none" w:sz="0" w:space="0" w:color="auto"/>
                          </w:divBdr>
                          <w:divsChild>
                            <w:div w:id="1244099605">
                              <w:marLeft w:val="0"/>
                              <w:marRight w:val="0"/>
                              <w:marTop w:val="0"/>
                              <w:marBottom w:val="0"/>
                              <w:divBdr>
                                <w:top w:val="none" w:sz="0" w:space="0" w:color="auto"/>
                                <w:left w:val="none" w:sz="0" w:space="0" w:color="auto"/>
                                <w:bottom w:val="none" w:sz="0" w:space="0" w:color="auto"/>
                                <w:right w:val="none" w:sz="0" w:space="0" w:color="auto"/>
                              </w:divBdr>
                              <w:divsChild>
                                <w:div w:id="656349448">
                                  <w:marLeft w:val="0"/>
                                  <w:marRight w:val="0"/>
                                  <w:marTop w:val="0"/>
                                  <w:marBottom w:val="0"/>
                                  <w:divBdr>
                                    <w:top w:val="none" w:sz="0" w:space="0" w:color="auto"/>
                                    <w:left w:val="none" w:sz="0" w:space="0" w:color="auto"/>
                                    <w:bottom w:val="none" w:sz="0" w:space="0" w:color="auto"/>
                                    <w:right w:val="none" w:sz="0" w:space="0" w:color="auto"/>
                                  </w:divBdr>
                                  <w:divsChild>
                                    <w:div w:id="1699550460">
                                      <w:marLeft w:val="-225"/>
                                      <w:marRight w:val="-225"/>
                                      <w:marTop w:val="0"/>
                                      <w:marBottom w:val="0"/>
                                      <w:divBdr>
                                        <w:top w:val="none" w:sz="0" w:space="0" w:color="auto"/>
                                        <w:left w:val="none" w:sz="0" w:space="0" w:color="auto"/>
                                        <w:bottom w:val="none" w:sz="0" w:space="0" w:color="auto"/>
                                        <w:right w:val="none" w:sz="0" w:space="0" w:color="auto"/>
                                      </w:divBdr>
                                      <w:divsChild>
                                        <w:div w:id="438838731">
                                          <w:marLeft w:val="0"/>
                                          <w:marRight w:val="0"/>
                                          <w:marTop w:val="0"/>
                                          <w:marBottom w:val="0"/>
                                          <w:divBdr>
                                            <w:top w:val="none" w:sz="0" w:space="0" w:color="auto"/>
                                            <w:left w:val="none" w:sz="0" w:space="0" w:color="auto"/>
                                            <w:bottom w:val="none" w:sz="0" w:space="0" w:color="auto"/>
                                            <w:right w:val="none" w:sz="0" w:space="0" w:color="auto"/>
                                          </w:divBdr>
                                          <w:divsChild>
                                            <w:div w:id="190081831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4991416">
      <w:bodyDiv w:val="1"/>
      <w:marLeft w:val="0"/>
      <w:marRight w:val="0"/>
      <w:marTop w:val="0"/>
      <w:marBottom w:val="0"/>
      <w:divBdr>
        <w:top w:val="none" w:sz="0" w:space="0" w:color="auto"/>
        <w:left w:val="none" w:sz="0" w:space="0" w:color="auto"/>
        <w:bottom w:val="none" w:sz="0" w:space="0" w:color="auto"/>
        <w:right w:val="none" w:sz="0" w:space="0" w:color="auto"/>
      </w:divBdr>
      <w:divsChild>
        <w:div w:id="3870902">
          <w:marLeft w:val="0"/>
          <w:marRight w:val="0"/>
          <w:marTop w:val="0"/>
          <w:marBottom w:val="0"/>
          <w:divBdr>
            <w:top w:val="none" w:sz="0" w:space="0" w:color="auto"/>
            <w:left w:val="none" w:sz="0" w:space="0" w:color="auto"/>
            <w:bottom w:val="none" w:sz="0" w:space="0" w:color="auto"/>
            <w:right w:val="none" w:sz="0" w:space="0" w:color="auto"/>
          </w:divBdr>
          <w:divsChild>
            <w:div w:id="2033997390">
              <w:marLeft w:val="0"/>
              <w:marRight w:val="0"/>
              <w:marTop w:val="0"/>
              <w:marBottom w:val="0"/>
              <w:divBdr>
                <w:top w:val="none" w:sz="0" w:space="0" w:color="auto"/>
                <w:left w:val="none" w:sz="0" w:space="0" w:color="auto"/>
                <w:bottom w:val="none" w:sz="0" w:space="0" w:color="auto"/>
                <w:right w:val="none" w:sz="0" w:space="0" w:color="auto"/>
              </w:divBdr>
              <w:divsChild>
                <w:div w:id="529301062">
                  <w:marLeft w:val="-225"/>
                  <w:marRight w:val="-225"/>
                  <w:marTop w:val="0"/>
                  <w:marBottom w:val="0"/>
                  <w:divBdr>
                    <w:top w:val="none" w:sz="0" w:space="0" w:color="auto"/>
                    <w:left w:val="none" w:sz="0" w:space="0" w:color="auto"/>
                    <w:bottom w:val="none" w:sz="0" w:space="0" w:color="auto"/>
                    <w:right w:val="none" w:sz="0" w:space="0" w:color="auto"/>
                  </w:divBdr>
                  <w:divsChild>
                    <w:div w:id="32777463">
                      <w:marLeft w:val="0"/>
                      <w:marRight w:val="0"/>
                      <w:marTop w:val="0"/>
                      <w:marBottom w:val="0"/>
                      <w:divBdr>
                        <w:top w:val="none" w:sz="0" w:space="0" w:color="auto"/>
                        <w:left w:val="none" w:sz="0" w:space="0" w:color="auto"/>
                        <w:bottom w:val="none" w:sz="0" w:space="0" w:color="auto"/>
                        <w:right w:val="none" w:sz="0" w:space="0" w:color="auto"/>
                      </w:divBdr>
                      <w:divsChild>
                        <w:div w:id="375743552">
                          <w:marLeft w:val="-225"/>
                          <w:marRight w:val="-225"/>
                          <w:marTop w:val="0"/>
                          <w:marBottom w:val="0"/>
                          <w:divBdr>
                            <w:top w:val="none" w:sz="0" w:space="0" w:color="auto"/>
                            <w:left w:val="none" w:sz="0" w:space="0" w:color="auto"/>
                            <w:bottom w:val="none" w:sz="0" w:space="0" w:color="auto"/>
                            <w:right w:val="none" w:sz="0" w:space="0" w:color="auto"/>
                          </w:divBdr>
                          <w:divsChild>
                            <w:div w:id="241909568">
                              <w:marLeft w:val="0"/>
                              <w:marRight w:val="0"/>
                              <w:marTop w:val="0"/>
                              <w:marBottom w:val="0"/>
                              <w:divBdr>
                                <w:top w:val="none" w:sz="0" w:space="0" w:color="auto"/>
                                <w:left w:val="none" w:sz="0" w:space="0" w:color="auto"/>
                                <w:bottom w:val="none" w:sz="0" w:space="0" w:color="auto"/>
                                <w:right w:val="none" w:sz="0" w:space="0" w:color="auto"/>
                              </w:divBdr>
                              <w:divsChild>
                                <w:div w:id="158884641">
                                  <w:marLeft w:val="0"/>
                                  <w:marRight w:val="0"/>
                                  <w:marTop w:val="0"/>
                                  <w:marBottom w:val="0"/>
                                  <w:divBdr>
                                    <w:top w:val="none" w:sz="0" w:space="0" w:color="auto"/>
                                    <w:left w:val="none" w:sz="0" w:space="0" w:color="auto"/>
                                    <w:bottom w:val="none" w:sz="0" w:space="0" w:color="auto"/>
                                    <w:right w:val="none" w:sz="0" w:space="0" w:color="auto"/>
                                  </w:divBdr>
                                  <w:divsChild>
                                    <w:div w:id="1617129290">
                                      <w:marLeft w:val="-225"/>
                                      <w:marRight w:val="-225"/>
                                      <w:marTop w:val="0"/>
                                      <w:marBottom w:val="0"/>
                                      <w:divBdr>
                                        <w:top w:val="none" w:sz="0" w:space="0" w:color="auto"/>
                                        <w:left w:val="none" w:sz="0" w:space="0" w:color="auto"/>
                                        <w:bottom w:val="none" w:sz="0" w:space="0" w:color="auto"/>
                                        <w:right w:val="none" w:sz="0" w:space="0" w:color="auto"/>
                                      </w:divBdr>
                                      <w:divsChild>
                                        <w:div w:id="1254316678">
                                          <w:marLeft w:val="0"/>
                                          <w:marRight w:val="0"/>
                                          <w:marTop w:val="0"/>
                                          <w:marBottom w:val="0"/>
                                          <w:divBdr>
                                            <w:top w:val="none" w:sz="0" w:space="0" w:color="auto"/>
                                            <w:left w:val="none" w:sz="0" w:space="0" w:color="auto"/>
                                            <w:bottom w:val="none" w:sz="0" w:space="0" w:color="auto"/>
                                            <w:right w:val="none" w:sz="0" w:space="0" w:color="auto"/>
                                          </w:divBdr>
                                          <w:divsChild>
                                            <w:div w:id="63283571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741840">
      <w:bodyDiv w:val="1"/>
      <w:marLeft w:val="0"/>
      <w:marRight w:val="0"/>
      <w:marTop w:val="0"/>
      <w:marBottom w:val="0"/>
      <w:divBdr>
        <w:top w:val="none" w:sz="0" w:space="0" w:color="auto"/>
        <w:left w:val="none" w:sz="0" w:space="0" w:color="auto"/>
        <w:bottom w:val="none" w:sz="0" w:space="0" w:color="auto"/>
        <w:right w:val="none" w:sz="0" w:space="0" w:color="auto"/>
      </w:divBdr>
      <w:divsChild>
        <w:div w:id="216867688">
          <w:marLeft w:val="0"/>
          <w:marRight w:val="0"/>
          <w:marTop w:val="0"/>
          <w:marBottom w:val="0"/>
          <w:divBdr>
            <w:top w:val="none" w:sz="0" w:space="0" w:color="auto"/>
            <w:left w:val="none" w:sz="0" w:space="0" w:color="auto"/>
            <w:bottom w:val="none" w:sz="0" w:space="0" w:color="auto"/>
            <w:right w:val="none" w:sz="0" w:space="0" w:color="auto"/>
          </w:divBdr>
          <w:divsChild>
            <w:div w:id="1621305757">
              <w:marLeft w:val="0"/>
              <w:marRight w:val="0"/>
              <w:marTop w:val="0"/>
              <w:marBottom w:val="0"/>
              <w:divBdr>
                <w:top w:val="none" w:sz="0" w:space="0" w:color="auto"/>
                <w:left w:val="none" w:sz="0" w:space="0" w:color="auto"/>
                <w:bottom w:val="none" w:sz="0" w:space="0" w:color="auto"/>
                <w:right w:val="none" w:sz="0" w:space="0" w:color="auto"/>
              </w:divBdr>
              <w:divsChild>
                <w:div w:id="291257311">
                  <w:marLeft w:val="-225"/>
                  <w:marRight w:val="-225"/>
                  <w:marTop w:val="0"/>
                  <w:marBottom w:val="0"/>
                  <w:divBdr>
                    <w:top w:val="none" w:sz="0" w:space="0" w:color="auto"/>
                    <w:left w:val="none" w:sz="0" w:space="0" w:color="auto"/>
                    <w:bottom w:val="none" w:sz="0" w:space="0" w:color="auto"/>
                    <w:right w:val="none" w:sz="0" w:space="0" w:color="auto"/>
                  </w:divBdr>
                  <w:divsChild>
                    <w:div w:id="828450395">
                      <w:marLeft w:val="0"/>
                      <w:marRight w:val="0"/>
                      <w:marTop w:val="0"/>
                      <w:marBottom w:val="0"/>
                      <w:divBdr>
                        <w:top w:val="none" w:sz="0" w:space="0" w:color="auto"/>
                        <w:left w:val="none" w:sz="0" w:space="0" w:color="auto"/>
                        <w:bottom w:val="none" w:sz="0" w:space="0" w:color="auto"/>
                        <w:right w:val="none" w:sz="0" w:space="0" w:color="auto"/>
                      </w:divBdr>
                      <w:divsChild>
                        <w:div w:id="1960448880">
                          <w:marLeft w:val="-225"/>
                          <w:marRight w:val="-225"/>
                          <w:marTop w:val="0"/>
                          <w:marBottom w:val="0"/>
                          <w:divBdr>
                            <w:top w:val="none" w:sz="0" w:space="0" w:color="auto"/>
                            <w:left w:val="none" w:sz="0" w:space="0" w:color="auto"/>
                            <w:bottom w:val="none" w:sz="0" w:space="0" w:color="auto"/>
                            <w:right w:val="none" w:sz="0" w:space="0" w:color="auto"/>
                          </w:divBdr>
                          <w:divsChild>
                            <w:div w:id="258636508">
                              <w:marLeft w:val="0"/>
                              <w:marRight w:val="0"/>
                              <w:marTop w:val="0"/>
                              <w:marBottom w:val="0"/>
                              <w:divBdr>
                                <w:top w:val="none" w:sz="0" w:space="0" w:color="auto"/>
                                <w:left w:val="none" w:sz="0" w:space="0" w:color="auto"/>
                                <w:bottom w:val="none" w:sz="0" w:space="0" w:color="auto"/>
                                <w:right w:val="none" w:sz="0" w:space="0" w:color="auto"/>
                              </w:divBdr>
                              <w:divsChild>
                                <w:div w:id="1251086164">
                                  <w:marLeft w:val="0"/>
                                  <w:marRight w:val="0"/>
                                  <w:marTop w:val="0"/>
                                  <w:marBottom w:val="0"/>
                                  <w:divBdr>
                                    <w:top w:val="none" w:sz="0" w:space="0" w:color="auto"/>
                                    <w:left w:val="none" w:sz="0" w:space="0" w:color="auto"/>
                                    <w:bottom w:val="none" w:sz="0" w:space="0" w:color="auto"/>
                                    <w:right w:val="none" w:sz="0" w:space="0" w:color="auto"/>
                                  </w:divBdr>
                                  <w:divsChild>
                                    <w:div w:id="1210653576">
                                      <w:marLeft w:val="-225"/>
                                      <w:marRight w:val="-225"/>
                                      <w:marTop w:val="0"/>
                                      <w:marBottom w:val="0"/>
                                      <w:divBdr>
                                        <w:top w:val="none" w:sz="0" w:space="0" w:color="auto"/>
                                        <w:left w:val="none" w:sz="0" w:space="0" w:color="auto"/>
                                        <w:bottom w:val="none" w:sz="0" w:space="0" w:color="auto"/>
                                        <w:right w:val="none" w:sz="0" w:space="0" w:color="auto"/>
                                      </w:divBdr>
                                      <w:divsChild>
                                        <w:div w:id="1928877020">
                                          <w:marLeft w:val="0"/>
                                          <w:marRight w:val="0"/>
                                          <w:marTop w:val="0"/>
                                          <w:marBottom w:val="0"/>
                                          <w:divBdr>
                                            <w:top w:val="none" w:sz="0" w:space="0" w:color="auto"/>
                                            <w:left w:val="none" w:sz="0" w:space="0" w:color="auto"/>
                                            <w:bottom w:val="none" w:sz="0" w:space="0" w:color="auto"/>
                                            <w:right w:val="none" w:sz="0" w:space="0" w:color="auto"/>
                                          </w:divBdr>
                                          <w:divsChild>
                                            <w:div w:id="97552682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0605826">
      <w:bodyDiv w:val="1"/>
      <w:marLeft w:val="0"/>
      <w:marRight w:val="0"/>
      <w:marTop w:val="0"/>
      <w:marBottom w:val="0"/>
      <w:divBdr>
        <w:top w:val="none" w:sz="0" w:space="0" w:color="auto"/>
        <w:left w:val="none" w:sz="0" w:space="0" w:color="auto"/>
        <w:bottom w:val="none" w:sz="0" w:space="0" w:color="auto"/>
        <w:right w:val="none" w:sz="0" w:space="0" w:color="auto"/>
      </w:divBdr>
      <w:divsChild>
        <w:div w:id="200829745">
          <w:marLeft w:val="0"/>
          <w:marRight w:val="0"/>
          <w:marTop w:val="0"/>
          <w:marBottom w:val="0"/>
          <w:divBdr>
            <w:top w:val="none" w:sz="0" w:space="0" w:color="auto"/>
            <w:left w:val="none" w:sz="0" w:space="0" w:color="auto"/>
            <w:bottom w:val="none" w:sz="0" w:space="0" w:color="auto"/>
            <w:right w:val="none" w:sz="0" w:space="0" w:color="auto"/>
          </w:divBdr>
          <w:divsChild>
            <w:div w:id="1582060256">
              <w:marLeft w:val="0"/>
              <w:marRight w:val="0"/>
              <w:marTop w:val="0"/>
              <w:marBottom w:val="0"/>
              <w:divBdr>
                <w:top w:val="none" w:sz="0" w:space="0" w:color="auto"/>
                <w:left w:val="none" w:sz="0" w:space="0" w:color="auto"/>
                <w:bottom w:val="none" w:sz="0" w:space="0" w:color="auto"/>
                <w:right w:val="none" w:sz="0" w:space="0" w:color="auto"/>
              </w:divBdr>
              <w:divsChild>
                <w:div w:id="1003703457">
                  <w:marLeft w:val="-225"/>
                  <w:marRight w:val="-225"/>
                  <w:marTop w:val="0"/>
                  <w:marBottom w:val="0"/>
                  <w:divBdr>
                    <w:top w:val="none" w:sz="0" w:space="0" w:color="auto"/>
                    <w:left w:val="none" w:sz="0" w:space="0" w:color="auto"/>
                    <w:bottom w:val="none" w:sz="0" w:space="0" w:color="auto"/>
                    <w:right w:val="none" w:sz="0" w:space="0" w:color="auto"/>
                  </w:divBdr>
                  <w:divsChild>
                    <w:div w:id="1130704183">
                      <w:marLeft w:val="0"/>
                      <w:marRight w:val="0"/>
                      <w:marTop w:val="0"/>
                      <w:marBottom w:val="0"/>
                      <w:divBdr>
                        <w:top w:val="none" w:sz="0" w:space="0" w:color="auto"/>
                        <w:left w:val="none" w:sz="0" w:space="0" w:color="auto"/>
                        <w:bottom w:val="none" w:sz="0" w:space="0" w:color="auto"/>
                        <w:right w:val="none" w:sz="0" w:space="0" w:color="auto"/>
                      </w:divBdr>
                      <w:divsChild>
                        <w:div w:id="1978099624">
                          <w:marLeft w:val="-225"/>
                          <w:marRight w:val="-225"/>
                          <w:marTop w:val="0"/>
                          <w:marBottom w:val="0"/>
                          <w:divBdr>
                            <w:top w:val="none" w:sz="0" w:space="0" w:color="auto"/>
                            <w:left w:val="none" w:sz="0" w:space="0" w:color="auto"/>
                            <w:bottom w:val="none" w:sz="0" w:space="0" w:color="auto"/>
                            <w:right w:val="none" w:sz="0" w:space="0" w:color="auto"/>
                          </w:divBdr>
                          <w:divsChild>
                            <w:div w:id="1689794383">
                              <w:marLeft w:val="0"/>
                              <w:marRight w:val="0"/>
                              <w:marTop w:val="0"/>
                              <w:marBottom w:val="0"/>
                              <w:divBdr>
                                <w:top w:val="none" w:sz="0" w:space="0" w:color="auto"/>
                                <w:left w:val="none" w:sz="0" w:space="0" w:color="auto"/>
                                <w:bottom w:val="none" w:sz="0" w:space="0" w:color="auto"/>
                                <w:right w:val="none" w:sz="0" w:space="0" w:color="auto"/>
                              </w:divBdr>
                              <w:divsChild>
                                <w:div w:id="1478180464">
                                  <w:marLeft w:val="0"/>
                                  <w:marRight w:val="0"/>
                                  <w:marTop w:val="0"/>
                                  <w:marBottom w:val="0"/>
                                  <w:divBdr>
                                    <w:top w:val="none" w:sz="0" w:space="0" w:color="auto"/>
                                    <w:left w:val="none" w:sz="0" w:space="0" w:color="auto"/>
                                    <w:bottom w:val="none" w:sz="0" w:space="0" w:color="auto"/>
                                    <w:right w:val="none" w:sz="0" w:space="0" w:color="auto"/>
                                  </w:divBdr>
                                  <w:divsChild>
                                    <w:div w:id="583497161">
                                      <w:marLeft w:val="-225"/>
                                      <w:marRight w:val="-225"/>
                                      <w:marTop w:val="0"/>
                                      <w:marBottom w:val="0"/>
                                      <w:divBdr>
                                        <w:top w:val="none" w:sz="0" w:space="0" w:color="auto"/>
                                        <w:left w:val="none" w:sz="0" w:space="0" w:color="auto"/>
                                        <w:bottom w:val="none" w:sz="0" w:space="0" w:color="auto"/>
                                        <w:right w:val="none" w:sz="0" w:space="0" w:color="auto"/>
                                      </w:divBdr>
                                      <w:divsChild>
                                        <w:div w:id="1450053167">
                                          <w:marLeft w:val="0"/>
                                          <w:marRight w:val="0"/>
                                          <w:marTop w:val="0"/>
                                          <w:marBottom w:val="0"/>
                                          <w:divBdr>
                                            <w:top w:val="none" w:sz="0" w:space="0" w:color="auto"/>
                                            <w:left w:val="none" w:sz="0" w:space="0" w:color="auto"/>
                                            <w:bottom w:val="none" w:sz="0" w:space="0" w:color="auto"/>
                                            <w:right w:val="none" w:sz="0" w:space="0" w:color="auto"/>
                                          </w:divBdr>
                                          <w:divsChild>
                                            <w:div w:id="186470278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3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1521202">
          <w:marLeft w:val="0"/>
          <w:marRight w:val="0"/>
          <w:marTop w:val="0"/>
          <w:marBottom w:val="0"/>
          <w:divBdr>
            <w:top w:val="none" w:sz="0" w:space="0" w:color="auto"/>
            <w:left w:val="none" w:sz="0" w:space="0" w:color="auto"/>
            <w:bottom w:val="none" w:sz="0" w:space="0" w:color="auto"/>
            <w:right w:val="none" w:sz="0" w:space="0" w:color="auto"/>
          </w:divBdr>
          <w:divsChild>
            <w:div w:id="965812636">
              <w:marLeft w:val="0"/>
              <w:marRight w:val="0"/>
              <w:marTop w:val="0"/>
              <w:marBottom w:val="0"/>
              <w:divBdr>
                <w:top w:val="none" w:sz="0" w:space="0" w:color="auto"/>
                <w:left w:val="none" w:sz="0" w:space="0" w:color="auto"/>
                <w:bottom w:val="none" w:sz="0" w:space="0" w:color="auto"/>
                <w:right w:val="none" w:sz="0" w:space="0" w:color="auto"/>
              </w:divBdr>
              <w:divsChild>
                <w:div w:id="1221552927">
                  <w:marLeft w:val="-225"/>
                  <w:marRight w:val="-225"/>
                  <w:marTop w:val="0"/>
                  <w:marBottom w:val="0"/>
                  <w:divBdr>
                    <w:top w:val="none" w:sz="0" w:space="0" w:color="auto"/>
                    <w:left w:val="none" w:sz="0" w:space="0" w:color="auto"/>
                    <w:bottom w:val="none" w:sz="0" w:space="0" w:color="auto"/>
                    <w:right w:val="none" w:sz="0" w:space="0" w:color="auto"/>
                  </w:divBdr>
                  <w:divsChild>
                    <w:div w:id="2048993325">
                      <w:marLeft w:val="0"/>
                      <w:marRight w:val="0"/>
                      <w:marTop w:val="0"/>
                      <w:marBottom w:val="0"/>
                      <w:divBdr>
                        <w:top w:val="none" w:sz="0" w:space="0" w:color="auto"/>
                        <w:left w:val="none" w:sz="0" w:space="0" w:color="auto"/>
                        <w:bottom w:val="none" w:sz="0" w:space="0" w:color="auto"/>
                        <w:right w:val="none" w:sz="0" w:space="0" w:color="auto"/>
                      </w:divBdr>
                      <w:divsChild>
                        <w:div w:id="274295769">
                          <w:marLeft w:val="-225"/>
                          <w:marRight w:val="-225"/>
                          <w:marTop w:val="0"/>
                          <w:marBottom w:val="0"/>
                          <w:divBdr>
                            <w:top w:val="none" w:sz="0" w:space="0" w:color="auto"/>
                            <w:left w:val="none" w:sz="0" w:space="0" w:color="auto"/>
                            <w:bottom w:val="none" w:sz="0" w:space="0" w:color="auto"/>
                            <w:right w:val="none" w:sz="0" w:space="0" w:color="auto"/>
                          </w:divBdr>
                          <w:divsChild>
                            <w:div w:id="1553689067">
                              <w:marLeft w:val="0"/>
                              <w:marRight w:val="0"/>
                              <w:marTop w:val="0"/>
                              <w:marBottom w:val="0"/>
                              <w:divBdr>
                                <w:top w:val="none" w:sz="0" w:space="0" w:color="auto"/>
                                <w:left w:val="none" w:sz="0" w:space="0" w:color="auto"/>
                                <w:bottom w:val="none" w:sz="0" w:space="0" w:color="auto"/>
                                <w:right w:val="none" w:sz="0" w:space="0" w:color="auto"/>
                              </w:divBdr>
                              <w:divsChild>
                                <w:div w:id="1545409493">
                                  <w:marLeft w:val="0"/>
                                  <w:marRight w:val="0"/>
                                  <w:marTop w:val="0"/>
                                  <w:marBottom w:val="0"/>
                                  <w:divBdr>
                                    <w:top w:val="none" w:sz="0" w:space="0" w:color="auto"/>
                                    <w:left w:val="none" w:sz="0" w:space="0" w:color="auto"/>
                                    <w:bottom w:val="none" w:sz="0" w:space="0" w:color="auto"/>
                                    <w:right w:val="none" w:sz="0" w:space="0" w:color="auto"/>
                                  </w:divBdr>
                                  <w:divsChild>
                                    <w:div w:id="1965769642">
                                      <w:marLeft w:val="-225"/>
                                      <w:marRight w:val="-225"/>
                                      <w:marTop w:val="0"/>
                                      <w:marBottom w:val="0"/>
                                      <w:divBdr>
                                        <w:top w:val="none" w:sz="0" w:space="0" w:color="auto"/>
                                        <w:left w:val="none" w:sz="0" w:space="0" w:color="auto"/>
                                        <w:bottom w:val="none" w:sz="0" w:space="0" w:color="auto"/>
                                        <w:right w:val="none" w:sz="0" w:space="0" w:color="auto"/>
                                      </w:divBdr>
                                      <w:divsChild>
                                        <w:div w:id="1442459658">
                                          <w:marLeft w:val="0"/>
                                          <w:marRight w:val="0"/>
                                          <w:marTop w:val="0"/>
                                          <w:marBottom w:val="0"/>
                                          <w:divBdr>
                                            <w:top w:val="none" w:sz="0" w:space="0" w:color="auto"/>
                                            <w:left w:val="none" w:sz="0" w:space="0" w:color="auto"/>
                                            <w:bottom w:val="none" w:sz="0" w:space="0" w:color="auto"/>
                                            <w:right w:val="none" w:sz="0" w:space="0" w:color="auto"/>
                                          </w:divBdr>
                                          <w:divsChild>
                                            <w:div w:id="2490926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385398">
      <w:bodyDiv w:val="1"/>
      <w:marLeft w:val="0"/>
      <w:marRight w:val="0"/>
      <w:marTop w:val="0"/>
      <w:marBottom w:val="0"/>
      <w:divBdr>
        <w:top w:val="none" w:sz="0" w:space="0" w:color="auto"/>
        <w:left w:val="none" w:sz="0" w:space="0" w:color="auto"/>
        <w:bottom w:val="none" w:sz="0" w:space="0" w:color="auto"/>
        <w:right w:val="none" w:sz="0" w:space="0" w:color="auto"/>
      </w:divBdr>
      <w:divsChild>
        <w:div w:id="1888641671">
          <w:marLeft w:val="0"/>
          <w:marRight w:val="0"/>
          <w:marTop w:val="0"/>
          <w:marBottom w:val="0"/>
          <w:divBdr>
            <w:top w:val="none" w:sz="0" w:space="0" w:color="auto"/>
            <w:left w:val="none" w:sz="0" w:space="0" w:color="auto"/>
            <w:bottom w:val="none" w:sz="0" w:space="0" w:color="auto"/>
            <w:right w:val="none" w:sz="0" w:space="0" w:color="auto"/>
          </w:divBdr>
          <w:divsChild>
            <w:div w:id="1601834872">
              <w:marLeft w:val="0"/>
              <w:marRight w:val="0"/>
              <w:marTop w:val="0"/>
              <w:marBottom w:val="0"/>
              <w:divBdr>
                <w:top w:val="none" w:sz="0" w:space="0" w:color="auto"/>
                <w:left w:val="none" w:sz="0" w:space="0" w:color="auto"/>
                <w:bottom w:val="none" w:sz="0" w:space="0" w:color="auto"/>
                <w:right w:val="none" w:sz="0" w:space="0" w:color="auto"/>
              </w:divBdr>
              <w:divsChild>
                <w:div w:id="268244045">
                  <w:marLeft w:val="-225"/>
                  <w:marRight w:val="-225"/>
                  <w:marTop w:val="0"/>
                  <w:marBottom w:val="0"/>
                  <w:divBdr>
                    <w:top w:val="none" w:sz="0" w:space="0" w:color="auto"/>
                    <w:left w:val="none" w:sz="0" w:space="0" w:color="auto"/>
                    <w:bottom w:val="none" w:sz="0" w:space="0" w:color="auto"/>
                    <w:right w:val="none" w:sz="0" w:space="0" w:color="auto"/>
                  </w:divBdr>
                  <w:divsChild>
                    <w:div w:id="654652410">
                      <w:marLeft w:val="0"/>
                      <w:marRight w:val="0"/>
                      <w:marTop w:val="0"/>
                      <w:marBottom w:val="0"/>
                      <w:divBdr>
                        <w:top w:val="none" w:sz="0" w:space="0" w:color="auto"/>
                        <w:left w:val="none" w:sz="0" w:space="0" w:color="auto"/>
                        <w:bottom w:val="none" w:sz="0" w:space="0" w:color="auto"/>
                        <w:right w:val="none" w:sz="0" w:space="0" w:color="auto"/>
                      </w:divBdr>
                      <w:divsChild>
                        <w:div w:id="1964460919">
                          <w:marLeft w:val="-225"/>
                          <w:marRight w:val="-225"/>
                          <w:marTop w:val="0"/>
                          <w:marBottom w:val="0"/>
                          <w:divBdr>
                            <w:top w:val="none" w:sz="0" w:space="0" w:color="auto"/>
                            <w:left w:val="none" w:sz="0" w:space="0" w:color="auto"/>
                            <w:bottom w:val="none" w:sz="0" w:space="0" w:color="auto"/>
                            <w:right w:val="none" w:sz="0" w:space="0" w:color="auto"/>
                          </w:divBdr>
                          <w:divsChild>
                            <w:div w:id="520238607">
                              <w:marLeft w:val="0"/>
                              <w:marRight w:val="0"/>
                              <w:marTop w:val="0"/>
                              <w:marBottom w:val="0"/>
                              <w:divBdr>
                                <w:top w:val="none" w:sz="0" w:space="0" w:color="auto"/>
                                <w:left w:val="none" w:sz="0" w:space="0" w:color="auto"/>
                                <w:bottom w:val="none" w:sz="0" w:space="0" w:color="auto"/>
                                <w:right w:val="none" w:sz="0" w:space="0" w:color="auto"/>
                              </w:divBdr>
                              <w:divsChild>
                                <w:div w:id="900138692">
                                  <w:marLeft w:val="0"/>
                                  <w:marRight w:val="0"/>
                                  <w:marTop w:val="0"/>
                                  <w:marBottom w:val="0"/>
                                  <w:divBdr>
                                    <w:top w:val="none" w:sz="0" w:space="0" w:color="auto"/>
                                    <w:left w:val="none" w:sz="0" w:space="0" w:color="auto"/>
                                    <w:bottom w:val="none" w:sz="0" w:space="0" w:color="auto"/>
                                    <w:right w:val="none" w:sz="0" w:space="0" w:color="auto"/>
                                  </w:divBdr>
                                  <w:divsChild>
                                    <w:div w:id="37319769">
                                      <w:marLeft w:val="-225"/>
                                      <w:marRight w:val="-225"/>
                                      <w:marTop w:val="0"/>
                                      <w:marBottom w:val="0"/>
                                      <w:divBdr>
                                        <w:top w:val="none" w:sz="0" w:space="0" w:color="auto"/>
                                        <w:left w:val="none" w:sz="0" w:space="0" w:color="auto"/>
                                        <w:bottom w:val="none" w:sz="0" w:space="0" w:color="auto"/>
                                        <w:right w:val="none" w:sz="0" w:space="0" w:color="auto"/>
                                      </w:divBdr>
                                      <w:divsChild>
                                        <w:div w:id="591623033">
                                          <w:marLeft w:val="0"/>
                                          <w:marRight w:val="0"/>
                                          <w:marTop w:val="0"/>
                                          <w:marBottom w:val="0"/>
                                          <w:divBdr>
                                            <w:top w:val="none" w:sz="0" w:space="0" w:color="auto"/>
                                            <w:left w:val="none" w:sz="0" w:space="0" w:color="auto"/>
                                            <w:bottom w:val="none" w:sz="0" w:space="0" w:color="auto"/>
                                            <w:right w:val="none" w:sz="0" w:space="0" w:color="auto"/>
                                          </w:divBdr>
                                          <w:divsChild>
                                            <w:div w:id="61626111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621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23041</Words>
  <Characters>131338</Characters>
  <Application>Microsoft Office Word</Application>
  <DocSecurity>0</DocSecurity>
  <Lines>1094</Lines>
  <Paragraphs>308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Carmine Podda</dc:creator>
  <cp:lastModifiedBy>Carmine Podda</cp:lastModifiedBy>
  <cp:revision>2</cp:revision>
  <cp:lastPrinted>2019-05-24T15:35:00Z</cp:lastPrinted>
  <dcterms:created xsi:type="dcterms:W3CDTF">2019-05-28T13:14:00Z</dcterms:created>
  <dcterms:modified xsi:type="dcterms:W3CDTF">2019-05-28T13:14:00Z</dcterms:modified>
</cp:coreProperties>
</file>