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8D" w:rsidRPr="000C208D" w:rsidRDefault="000C208D" w:rsidP="000C208D">
      <w:pPr>
        <w:spacing w:after="265" w:line="240" w:lineRule="auto"/>
        <w:jc w:val="center"/>
        <w:rPr>
          <w:rFonts w:ascii="Tahoma" w:eastAsia="Times New Roman" w:hAnsi="Tahoma" w:cs="Tahoma"/>
          <w:b/>
          <w:color w:val="3D3B39"/>
          <w:sz w:val="32"/>
          <w:szCs w:val="32"/>
          <w:lang w:eastAsia="it-IT"/>
        </w:rPr>
      </w:pPr>
      <w:r w:rsidRPr="000C208D">
        <w:rPr>
          <w:rFonts w:ascii="Tahoma" w:eastAsia="Times New Roman" w:hAnsi="Tahoma" w:cs="Tahoma"/>
          <w:b/>
          <w:color w:val="3D3B39"/>
          <w:sz w:val="32"/>
          <w:szCs w:val="32"/>
          <w:lang w:eastAsia="it-IT"/>
        </w:rPr>
        <w:t>Sentenze 30.04</w:t>
      </w:r>
    </w:p>
    <w:p w:rsidR="000C208D" w:rsidRDefault="000C208D" w:rsidP="0078361C">
      <w:pPr>
        <w:spacing w:after="265" w:line="240" w:lineRule="auto"/>
        <w:jc w:val="right"/>
        <w:rPr>
          <w:rFonts w:ascii="Tahoma" w:eastAsia="Times New Roman" w:hAnsi="Tahoma" w:cs="Tahoma"/>
          <w:color w:val="3D3B39"/>
          <w:lang w:eastAsia="it-IT"/>
        </w:rPr>
      </w:pPr>
    </w:p>
    <w:p w:rsidR="000C208D" w:rsidRDefault="000C208D" w:rsidP="0078361C">
      <w:pPr>
        <w:spacing w:after="265" w:line="240" w:lineRule="auto"/>
        <w:jc w:val="right"/>
        <w:rPr>
          <w:rFonts w:ascii="Tahoma" w:eastAsia="Times New Roman" w:hAnsi="Tahoma" w:cs="Tahoma"/>
          <w:color w:val="3D3B39"/>
          <w:lang w:eastAsia="it-IT"/>
        </w:rPr>
      </w:pPr>
    </w:p>
    <w:p w:rsidR="000C208D" w:rsidRDefault="000C208D" w:rsidP="0078361C">
      <w:pPr>
        <w:spacing w:after="265" w:line="240" w:lineRule="auto"/>
        <w:jc w:val="right"/>
        <w:rPr>
          <w:rFonts w:ascii="Tahoma" w:eastAsia="Times New Roman" w:hAnsi="Tahoma" w:cs="Tahoma"/>
          <w:color w:val="3D3B39"/>
          <w:lang w:eastAsia="it-IT"/>
        </w:rPr>
      </w:pPr>
      <w:bookmarkStart w:id="0" w:name="_GoBack"/>
      <w:bookmarkEnd w:id="0"/>
    </w:p>
    <w:p w:rsidR="000C208D" w:rsidRDefault="000C208D" w:rsidP="0078361C">
      <w:pPr>
        <w:spacing w:after="265" w:line="240" w:lineRule="auto"/>
        <w:jc w:val="right"/>
        <w:rPr>
          <w:rFonts w:ascii="Tahoma" w:eastAsia="Times New Roman" w:hAnsi="Tahoma" w:cs="Tahoma"/>
          <w:color w:val="3D3B39"/>
          <w:lang w:eastAsia="it-IT"/>
        </w:rPr>
      </w:pPr>
    </w:p>
    <w:p w:rsidR="0078361C" w:rsidRPr="0078361C" w:rsidRDefault="0078361C" w:rsidP="0078361C">
      <w:pPr>
        <w:spacing w:after="265" w:line="240" w:lineRule="auto"/>
        <w:jc w:val="right"/>
        <w:rPr>
          <w:rFonts w:ascii="Tahoma" w:eastAsia="Times New Roman" w:hAnsi="Tahoma" w:cs="Tahoma"/>
          <w:color w:val="3D3B39"/>
          <w:lang w:eastAsia="it-IT"/>
        </w:rPr>
      </w:pPr>
      <w:r w:rsidRPr="0078361C">
        <w:rPr>
          <w:rFonts w:ascii="Tahoma" w:eastAsia="Times New Roman" w:hAnsi="Tahoma" w:cs="Tahoma"/>
          <w:color w:val="3D3B39"/>
          <w:lang w:eastAsia="it-IT"/>
        </w:rPr>
        <w:t xml:space="preserve">Pubblicato il 18/04/2017 </w:t>
      </w:r>
      <w:r w:rsidRPr="0078361C">
        <w:rPr>
          <w:rFonts w:ascii="Tahoma" w:eastAsia="Times New Roman" w:hAnsi="Tahoma" w:cs="Tahoma"/>
          <w:color w:val="3D3B39"/>
          <w:lang w:eastAsia="it-IT"/>
        </w:rPr>
        <w:br/>
        <w:t>N. 01809/2017REG.PROV.COLL.</w:t>
      </w:r>
      <w:r w:rsidRPr="0078361C">
        <w:rPr>
          <w:rFonts w:ascii="Tahoma" w:eastAsia="Times New Roman" w:hAnsi="Tahoma" w:cs="Tahoma"/>
          <w:color w:val="3D3B39"/>
          <w:lang w:eastAsia="it-IT"/>
        </w:rPr>
        <w:br/>
        <w:t>N. 08178/2016 REG.RIC.</w:t>
      </w:r>
    </w:p>
    <w:p w:rsidR="0078361C" w:rsidRPr="0078361C" w:rsidRDefault="0078361C" w:rsidP="0078361C">
      <w:pPr>
        <w:spacing w:after="265" w:line="240" w:lineRule="auto"/>
        <w:jc w:val="center"/>
        <w:rPr>
          <w:rFonts w:ascii="Tahoma" w:eastAsia="Times New Roman" w:hAnsi="Tahoma" w:cs="Tahoma"/>
          <w:color w:val="3D3B39"/>
          <w:lang w:eastAsia="it-IT"/>
        </w:rPr>
      </w:pPr>
      <w:r w:rsidRPr="00694329">
        <w:rPr>
          <w:rFonts w:ascii="Tahoma" w:eastAsia="Times New Roman" w:hAnsi="Tahoma" w:cs="Tahoma"/>
          <w:b/>
          <w:bCs/>
          <w:color w:val="3D3B39"/>
          <w:lang w:eastAsia="it-IT"/>
        </w:rPr>
        <w:t>REPUBBLICA ITALIANA</w:t>
      </w:r>
      <w:r w:rsidRPr="0078361C">
        <w:rPr>
          <w:rFonts w:ascii="Tahoma" w:eastAsia="Times New Roman" w:hAnsi="Tahoma" w:cs="Tahoma"/>
          <w:b/>
          <w:bCs/>
          <w:color w:val="3D3B39"/>
          <w:lang w:eastAsia="it-IT"/>
        </w:rPr>
        <w:br/>
      </w:r>
      <w:r w:rsidRPr="00694329">
        <w:rPr>
          <w:rFonts w:ascii="Tahoma" w:eastAsia="Times New Roman" w:hAnsi="Tahoma" w:cs="Tahoma"/>
          <w:b/>
          <w:bCs/>
          <w:color w:val="3D3B39"/>
          <w:lang w:eastAsia="it-IT"/>
        </w:rPr>
        <w:t>IN NOME DEL POPOLO ITALIANO</w:t>
      </w:r>
      <w:r w:rsidRPr="0078361C">
        <w:rPr>
          <w:rFonts w:ascii="Tahoma" w:eastAsia="Times New Roman" w:hAnsi="Tahoma" w:cs="Tahoma"/>
          <w:b/>
          <w:bCs/>
          <w:color w:val="3D3B39"/>
          <w:lang w:eastAsia="it-IT"/>
        </w:rPr>
        <w:br/>
      </w:r>
      <w:r w:rsidRPr="0078361C">
        <w:rPr>
          <w:rFonts w:ascii="Tahoma" w:eastAsia="Times New Roman" w:hAnsi="Tahoma" w:cs="Tahoma"/>
          <w:color w:val="3D3B39"/>
          <w:lang w:eastAsia="it-IT"/>
        </w:rPr>
        <w:br/>
        <w:t>Il Consiglio di Stato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in sede giurisdizionale (Sezione Terza)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ha pronunciato la presente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r>
      <w:r w:rsidRPr="00694329">
        <w:rPr>
          <w:rFonts w:ascii="Tahoma" w:eastAsia="Times New Roman" w:hAnsi="Tahoma" w:cs="Tahoma"/>
          <w:b/>
          <w:bCs/>
          <w:color w:val="3D3B39"/>
          <w:lang w:eastAsia="it-IT"/>
        </w:rPr>
        <w:t>SENTENZA</w:t>
      </w:r>
    </w:p>
    <w:p w:rsidR="0078361C" w:rsidRPr="0078361C" w:rsidRDefault="0078361C" w:rsidP="0078361C">
      <w:pPr>
        <w:spacing w:after="265" w:line="240" w:lineRule="auto"/>
        <w:rPr>
          <w:rFonts w:ascii="Tahoma" w:eastAsia="Times New Roman" w:hAnsi="Tahoma" w:cs="Tahoma"/>
          <w:color w:val="3D3B39"/>
          <w:lang w:eastAsia="it-IT"/>
        </w:rPr>
      </w:pPr>
      <w:r w:rsidRPr="0078361C">
        <w:rPr>
          <w:rFonts w:ascii="Tahoma" w:eastAsia="Times New Roman" w:hAnsi="Tahoma" w:cs="Tahoma"/>
          <w:color w:val="3D3B39"/>
          <w:lang w:eastAsia="it-IT"/>
        </w:rPr>
        <w:t xml:space="preserve">sul ricorso numero di registro generale 8178 del 2016, proposto da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in persona del legale rappresentante pro tempore, rappresentata e difesa dall’Avvocato Diego Vaiano e dall’Avvocato Raffaele Izzo, con domicilio eletto presso lo studio dello stesso Avvocato Diego Vaiano in Roma, lungotevere Marzio, n. 3;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contro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Azienda Ospedaliero Universitaria –Ospedali Riuniti di Foggia, in persona del Direttore Generale pro tempore, rappresentata e difesa dall’Avvocato Simonetta </w:t>
      </w:r>
      <w:proofErr w:type="spellStart"/>
      <w:r w:rsidRPr="0078361C">
        <w:rPr>
          <w:rFonts w:ascii="Tahoma" w:eastAsia="Times New Roman" w:hAnsi="Tahoma" w:cs="Tahoma"/>
          <w:color w:val="3D3B39"/>
          <w:lang w:eastAsia="it-IT"/>
        </w:rPr>
        <w:t>Mastropieri</w:t>
      </w:r>
      <w:proofErr w:type="spellEnd"/>
      <w:r w:rsidRPr="0078361C">
        <w:rPr>
          <w:rFonts w:ascii="Tahoma" w:eastAsia="Times New Roman" w:hAnsi="Tahoma" w:cs="Tahoma"/>
          <w:color w:val="3D3B39"/>
          <w:lang w:eastAsia="it-IT"/>
        </w:rPr>
        <w:t xml:space="preserve">, con domicilio eletto presso lo studio </w:t>
      </w:r>
      <w:proofErr w:type="spellStart"/>
      <w:r w:rsidRPr="0078361C">
        <w:rPr>
          <w:rFonts w:ascii="Tahoma" w:eastAsia="Times New Roman" w:hAnsi="Tahoma" w:cs="Tahoma"/>
          <w:color w:val="3D3B39"/>
          <w:lang w:eastAsia="it-IT"/>
        </w:rPr>
        <w:t>Studio</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Grez</w:t>
      </w:r>
      <w:proofErr w:type="spellEnd"/>
      <w:r w:rsidRPr="0078361C">
        <w:rPr>
          <w:rFonts w:ascii="Tahoma" w:eastAsia="Times New Roman" w:hAnsi="Tahoma" w:cs="Tahoma"/>
          <w:color w:val="3D3B39"/>
          <w:lang w:eastAsia="it-IT"/>
        </w:rPr>
        <w:t xml:space="preserve"> in Roma, corso Vittorio Emanuele II, n. 18; </w:t>
      </w:r>
      <w:r w:rsidRPr="0078361C">
        <w:rPr>
          <w:rFonts w:ascii="Tahoma" w:eastAsia="Times New Roman" w:hAnsi="Tahoma" w:cs="Tahoma"/>
          <w:color w:val="3D3B39"/>
          <w:lang w:eastAsia="it-IT"/>
        </w:rPr>
        <w:br/>
        <w:t>A.S.L. FG di Foggia, appellata non costituita in giudizio;</w:t>
      </w:r>
      <w:r w:rsidRPr="0078361C">
        <w:rPr>
          <w:rFonts w:ascii="Tahoma" w:eastAsia="Times New Roman" w:hAnsi="Tahoma" w:cs="Tahoma"/>
          <w:color w:val="3D3B39"/>
          <w:lang w:eastAsia="it-IT"/>
        </w:rPr>
        <w:br/>
        <w:t>A.S.L. BT di Andria, appellata non costituita in giudizio;</w:t>
      </w:r>
      <w:r w:rsidRPr="0078361C">
        <w:rPr>
          <w:rFonts w:ascii="Tahoma" w:eastAsia="Times New Roman" w:hAnsi="Tahoma" w:cs="Tahoma"/>
          <w:color w:val="3D3B39"/>
          <w:lang w:eastAsia="it-IT"/>
        </w:rPr>
        <w:br/>
        <w:t xml:space="preserve">Azienda Ospedaliero Universitaria Consorziale Policlinico di Bari, appellata non costituita in giudizio;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nei confronti di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in persona del legale rappresentante pro tempore, rappresentato e difeso dagli avvocati Giuseppe Mescia, Giacomo Mescia, con domicilio eletto presso lo studio Franco Gaetano </w:t>
      </w:r>
      <w:proofErr w:type="spellStart"/>
      <w:r w:rsidRPr="0078361C">
        <w:rPr>
          <w:rFonts w:ascii="Tahoma" w:eastAsia="Times New Roman" w:hAnsi="Tahoma" w:cs="Tahoma"/>
          <w:color w:val="3D3B39"/>
          <w:lang w:eastAsia="it-IT"/>
        </w:rPr>
        <w:t>Scoca</w:t>
      </w:r>
      <w:proofErr w:type="spellEnd"/>
      <w:r w:rsidRPr="0078361C">
        <w:rPr>
          <w:rFonts w:ascii="Tahoma" w:eastAsia="Times New Roman" w:hAnsi="Tahoma" w:cs="Tahoma"/>
          <w:color w:val="3D3B39"/>
          <w:lang w:eastAsia="it-IT"/>
        </w:rPr>
        <w:t xml:space="preserve"> in Roma, via Giovanni Paisiello, n. 55;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per la riforma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della sentenza del T.A.R. per la Puglia, sede di Bari, sez. II, n. 784 del 16 giugno 2016, resa tra le parti, concernente l’aggiudicazione definitiva, in favore di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della gara per la fornitura in service di pompe e relativo materiale di consumo per terapie </w:t>
      </w:r>
      <w:proofErr w:type="spellStart"/>
      <w:r w:rsidRPr="0078361C">
        <w:rPr>
          <w:rFonts w:ascii="Tahoma" w:eastAsia="Times New Roman" w:hAnsi="Tahoma" w:cs="Tahoma"/>
          <w:color w:val="3D3B39"/>
          <w:lang w:eastAsia="it-IT"/>
        </w:rPr>
        <w:t>infusionali</w:t>
      </w:r>
      <w:proofErr w:type="spellEnd"/>
      <w:r w:rsidRPr="0078361C">
        <w:rPr>
          <w:rFonts w:ascii="Tahoma" w:eastAsia="Times New Roman" w:hAnsi="Tahoma" w:cs="Tahoma"/>
          <w:color w:val="3D3B39"/>
          <w:lang w:eastAsia="it-IT"/>
        </w:rPr>
        <w:t xml:space="preserve"> e per </w:t>
      </w:r>
      <w:r w:rsidRPr="0078361C">
        <w:rPr>
          <w:rFonts w:ascii="Tahoma" w:eastAsia="Times New Roman" w:hAnsi="Tahoma" w:cs="Tahoma"/>
          <w:color w:val="3D3B39"/>
          <w:lang w:eastAsia="it-IT"/>
        </w:rPr>
        <w:lastRenderedPageBreak/>
        <w:t>nutrizione parenterale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visti il ricorso in appello e i relativi allegati;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visti gli atti di costituzione in giudizio dell’Azienda Ospedaliero Universitaria – Ospedali Riuniti di Foggia e di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viste le memorie difensive;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visti tutti gli atti della causa;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relatore nell’udienza pubblica del giorno 23 marzo 2017 il Consigliere Massimiliano </w:t>
      </w:r>
      <w:proofErr w:type="spellStart"/>
      <w:r w:rsidRPr="0078361C">
        <w:rPr>
          <w:rFonts w:ascii="Tahoma" w:eastAsia="Times New Roman" w:hAnsi="Tahoma" w:cs="Tahoma"/>
          <w:color w:val="3D3B39"/>
          <w:lang w:eastAsia="it-IT"/>
        </w:rPr>
        <w:t>Noccelli</w:t>
      </w:r>
      <w:proofErr w:type="spellEnd"/>
      <w:r w:rsidRPr="0078361C">
        <w:rPr>
          <w:rFonts w:ascii="Tahoma" w:eastAsia="Times New Roman" w:hAnsi="Tahoma" w:cs="Tahoma"/>
          <w:color w:val="3D3B39"/>
          <w:lang w:eastAsia="it-IT"/>
        </w:rPr>
        <w:t xml:space="preserve"> e udito per l’odierna appellante,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l’Avvocato Massimiliano Pozzi su delega dell’Avvocato Diego Vaiano, per l’odierna appellata, l’Azienda Ospedaliero Universitaria – Ospedali Riuniti di Foggia, l’Avvocato Adriano </w:t>
      </w:r>
      <w:proofErr w:type="spellStart"/>
      <w:r w:rsidRPr="0078361C">
        <w:rPr>
          <w:rFonts w:ascii="Tahoma" w:eastAsia="Times New Roman" w:hAnsi="Tahoma" w:cs="Tahoma"/>
          <w:color w:val="3D3B39"/>
          <w:lang w:eastAsia="it-IT"/>
        </w:rPr>
        <w:t>Casellato</w:t>
      </w:r>
      <w:proofErr w:type="spellEnd"/>
      <w:r w:rsidRPr="0078361C">
        <w:rPr>
          <w:rFonts w:ascii="Tahoma" w:eastAsia="Times New Roman" w:hAnsi="Tahoma" w:cs="Tahoma"/>
          <w:color w:val="3D3B39"/>
          <w:lang w:eastAsia="it-IT"/>
        </w:rPr>
        <w:t xml:space="preserve"> su delega dell’Avvocato Simonetta </w:t>
      </w:r>
      <w:proofErr w:type="spellStart"/>
      <w:r w:rsidRPr="0078361C">
        <w:rPr>
          <w:rFonts w:ascii="Tahoma" w:eastAsia="Times New Roman" w:hAnsi="Tahoma" w:cs="Tahoma"/>
          <w:color w:val="3D3B39"/>
          <w:lang w:eastAsia="it-IT"/>
        </w:rPr>
        <w:t>Mastropieri</w:t>
      </w:r>
      <w:proofErr w:type="spellEnd"/>
      <w:r w:rsidRPr="0078361C">
        <w:rPr>
          <w:rFonts w:ascii="Tahoma" w:eastAsia="Times New Roman" w:hAnsi="Tahoma" w:cs="Tahoma"/>
          <w:color w:val="3D3B39"/>
          <w:lang w:eastAsia="it-IT"/>
        </w:rPr>
        <w:t xml:space="preserve"> e per la </w:t>
      </w:r>
      <w:proofErr w:type="spellStart"/>
      <w:r w:rsidRPr="0078361C">
        <w:rPr>
          <w:rFonts w:ascii="Tahoma" w:eastAsia="Times New Roman" w:hAnsi="Tahoma" w:cs="Tahoma"/>
          <w:color w:val="3D3B39"/>
          <w:lang w:eastAsia="it-IT"/>
        </w:rPr>
        <w:t>controinteressata</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l’Avvocato Giuseppe Mescia;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ritenuto e considerato in fatto e diritto quanto segue.</w:t>
      </w:r>
    </w:p>
    <w:p w:rsidR="0078361C" w:rsidRPr="0078361C" w:rsidRDefault="0078361C" w:rsidP="0078361C">
      <w:pPr>
        <w:spacing w:after="265" w:line="240" w:lineRule="auto"/>
        <w:jc w:val="center"/>
        <w:rPr>
          <w:rFonts w:ascii="Tahoma" w:eastAsia="Times New Roman" w:hAnsi="Tahoma" w:cs="Tahoma"/>
          <w:color w:val="3D3B39"/>
          <w:lang w:eastAsia="it-IT"/>
        </w:rPr>
      </w:pPr>
      <w:r w:rsidRPr="00694329">
        <w:rPr>
          <w:rFonts w:ascii="Tahoma" w:eastAsia="Times New Roman" w:hAnsi="Tahoma" w:cs="Tahoma"/>
          <w:b/>
          <w:bCs/>
          <w:color w:val="3D3B39"/>
          <w:lang w:eastAsia="it-IT"/>
        </w:rPr>
        <w:t>FATTO e DIRITTO</w:t>
      </w:r>
    </w:p>
    <w:p w:rsidR="0078361C" w:rsidRPr="0078361C" w:rsidRDefault="0078361C" w:rsidP="0078361C">
      <w:pPr>
        <w:spacing w:after="265" w:line="240" w:lineRule="auto"/>
        <w:rPr>
          <w:rFonts w:ascii="Tahoma" w:eastAsia="Times New Roman" w:hAnsi="Tahoma" w:cs="Tahoma"/>
          <w:color w:val="3D3B39"/>
          <w:lang w:eastAsia="it-IT"/>
        </w:rPr>
      </w:pPr>
      <w:r w:rsidRPr="0078361C">
        <w:rPr>
          <w:rFonts w:ascii="Tahoma" w:eastAsia="Times New Roman" w:hAnsi="Tahoma" w:cs="Tahoma"/>
          <w:color w:val="3D3B39"/>
          <w:lang w:eastAsia="it-IT"/>
        </w:rPr>
        <w:t xml:space="preserve">1. L’Azienda Ospedaliero Universitaria “Ospedali Riuniti” di Bari, di qui da avanti per brevità indicata come “Azienda Ospedaliero Universitaria” o semplicemente “Azienda”, ha indetto, con determinazione n. 720 del 27 aprile 2015, una procedura di gara in unione di acquisto tra essa, l’ASL FG, l’ASL BT e l’Azienda Ospedaliero Universitaria Policlinico di Bari per la fornitura in service di pompe e relativo materiale di consumo per le terapie </w:t>
      </w:r>
      <w:proofErr w:type="spellStart"/>
      <w:r w:rsidRPr="0078361C">
        <w:rPr>
          <w:rFonts w:ascii="Tahoma" w:eastAsia="Times New Roman" w:hAnsi="Tahoma" w:cs="Tahoma"/>
          <w:color w:val="3D3B39"/>
          <w:lang w:eastAsia="it-IT"/>
        </w:rPr>
        <w:t>infusionali</w:t>
      </w:r>
      <w:proofErr w:type="spellEnd"/>
      <w:r w:rsidRPr="0078361C">
        <w:rPr>
          <w:rFonts w:ascii="Tahoma" w:eastAsia="Times New Roman" w:hAnsi="Tahoma" w:cs="Tahoma"/>
          <w:color w:val="3D3B39"/>
          <w:lang w:eastAsia="it-IT"/>
        </w:rPr>
        <w:t xml:space="preserve"> e per la nutrizione parenterale.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1.1. La gara è stata articolata a lotto unico in base al criterio del prezzo più basso di cui all’art. 82 del d. </w:t>
      </w:r>
      <w:proofErr w:type="spellStart"/>
      <w:r w:rsidRPr="0078361C">
        <w:rPr>
          <w:rFonts w:ascii="Tahoma" w:eastAsia="Times New Roman" w:hAnsi="Tahoma" w:cs="Tahoma"/>
          <w:color w:val="3D3B39"/>
          <w:lang w:eastAsia="it-IT"/>
        </w:rPr>
        <w:t>lgs</w:t>
      </w:r>
      <w:proofErr w:type="spellEnd"/>
      <w:r w:rsidRPr="0078361C">
        <w:rPr>
          <w:rFonts w:ascii="Tahoma" w:eastAsia="Times New Roman" w:hAnsi="Tahoma" w:cs="Tahoma"/>
          <w:color w:val="3D3B39"/>
          <w:lang w:eastAsia="it-IT"/>
        </w:rPr>
        <w:t>. n. 163 del 2006.</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1.2. Entro il termine per la presentazione delle offerte, fissato per il 24 luglio 2015, hanno presentato le proprie offerte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w:t>
      </w:r>
      <w:proofErr w:type="spellStart"/>
      <w:r w:rsidRPr="0078361C">
        <w:rPr>
          <w:rFonts w:ascii="Tahoma" w:eastAsia="Times New Roman" w:hAnsi="Tahoma" w:cs="Tahoma"/>
          <w:color w:val="3D3B39"/>
          <w:lang w:eastAsia="it-IT"/>
        </w:rPr>
        <w:t>Fresenius</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Kabi</w:t>
      </w:r>
      <w:proofErr w:type="spellEnd"/>
      <w:r w:rsidRPr="0078361C">
        <w:rPr>
          <w:rFonts w:ascii="Tahoma" w:eastAsia="Times New Roman" w:hAnsi="Tahoma" w:cs="Tahoma"/>
          <w:color w:val="3D3B39"/>
          <w:lang w:eastAsia="it-IT"/>
        </w:rPr>
        <w:t xml:space="preserve"> s.r.l., </w:t>
      </w:r>
      <w:proofErr w:type="spellStart"/>
      <w:r w:rsidRPr="0078361C">
        <w:rPr>
          <w:rFonts w:ascii="Tahoma" w:eastAsia="Times New Roman" w:hAnsi="Tahoma" w:cs="Tahoma"/>
          <w:color w:val="3D3B39"/>
          <w:lang w:eastAsia="it-IT"/>
        </w:rPr>
        <w:t>Betafin</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B. </w:t>
      </w:r>
      <w:proofErr w:type="spellStart"/>
      <w:r w:rsidRPr="0078361C">
        <w:rPr>
          <w:rFonts w:ascii="Tahoma" w:eastAsia="Times New Roman" w:hAnsi="Tahoma" w:cs="Tahoma"/>
          <w:color w:val="3D3B39"/>
          <w:lang w:eastAsia="it-IT"/>
        </w:rPr>
        <w:t>Braun</w:t>
      </w:r>
      <w:proofErr w:type="spellEnd"/>
      <w:r w:rsidRPr="0078361C">
        <w:rPr>
          <w:rFonts w:ascii="Tahoma" w:eastAsia="Times New Roman" w:hAnsi="Tahoma" w:cs="Tahoma"/>
          <w:color w:val="3D3B39"/>
          <w:lang w:eastAsia="it-IT"/>
        </w:rPr>
        <w:t xml:space="preserve"> Milano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e </w:t>
      </w:r>
      <w:proofErr w:type="spellStart"/>
      <w:r w:rsidRPr="0078361C">
        <w:rPr>
          <w:rFonts w:ascii="Tahoma" w:eastAsia="Times New Roman" w:hAnsi="Tahoma" w:cs="Tahoma"/>
          <w:color w:val="3D3B39"/>
          <w:lang w:eastAsia="it-IT"/>
        </w:rPr>
        <w:t>Macropharm</w:t>
      </w:r>
      <w:proofErr w:type="spellEnd"/>
      <w:r w:rsidRPr="0078361C">
        <w:rPr>
          <w:rFonts w:ascii="Tahoma" w:eastAsia="Times New Roman" w:hAnsi="Tahoma" w:cs="Tahoma"/>
          <w:color w:val="3D3B39"/>
          <w:lang w:eastAsia="it-IT"/>
        </w:rPr>
        <w:t xml:space="preserve"> s.r.l.</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1.3. All’esito delle operazioni di gara, infine, con determinazione del Direttore della Struttura Gestione </w:t>
      </w:r>
      <w:proofErr w:type="spellStart"/>
      <w:r w:rsidRPr="0078361C">
        <w:rPr>
          <w:rFonts w:ascii="Tahoma" w:eastAsia="Times New Roman" w:hAnsi="Tahoma" w:cs="Tahoma"/>
          <w:color w:val="3D3B39"/>
          <w:lang w:eastAsia="it-IT"/>
        </w:rPr>
        <w:t>Patromonio</w:t>
      </w:r>
      <w:proofErr w:type="spellEnd"/>
      <w:r w:rsidRPr="0078361C">
        <w:rPr>
          <w:rFonts w:ascii="Tahoma" w:eastAsia="Times New Roman" w:hAnsi="Tahoma" w:cs="Tahoma"/>
          <w:color w:val="3D3B39"/>
          <w:lang w:eastAsia="it-IT"/>
        </w:rPr>
        <w:t xml:space="preserve"> dell’A.O.U. “Ospedali Riuniti” di Foggia n. 240 del 1° febbraio 2016, comunicata con nota </w:t>
      </w:r>
      <w:proofErr w:type="spellStart"/>
      <w:r w:rsidRPr="0078361C">
        <w:rPr>
          <w:rFonts w:ascii="Tahoma" w:eastAsia="Times New Roman" w:hAnsi="Tahoma" w:cs="Tahoma"/>
          <w:color w:val="3D3B39"/>
          <w:lang w:eastAsia="it-IT"/>
        </w:rPr>
        <w:t>prot</w:t>
      </w:r>
      <w:proofErr w:type="spellEnd"/>
      <w:r w:rsidRPr="0078361C">
        <w:rPr>
          <w:rFonts w:ascii="Tahoma" w:eastAsia="Times New Roman" w:hAnsi="Tahoma" w:cs="Tahoma"/>
          <w:color w:val="3D3B39"/>
          <w:lang w:eastAsia="it-IT"/>
        </w:rPr>
        <w:t xml:space="preserve">. n. 3/0636 del 3 febbraio 2016, la stazione appaltante ha infine aggiudicato in via definitiva in favore di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la gara per la fornitura in service di pompe e relativo materiale di consumo per terapie </w:t>
      </w:r>
      <w:proofErr w:type="spellStart"/>
      <w:r w:rsidRPr="0078361C">
        <w:rPr>
          <w:rFonts w:ascii="Tahoma" w:eastAsia="Times New Roman" w:hAnsi="Tahoma" w:cs="Tahoma"/>
          <w:color w:val="3D3B39"/>
          <w:lang w:eastAsia="it-IT"/>
        </w:rPr>
        <w:t>infusionali</w:t>
      </w:r>
      <w:proofErr w:type="spellEnd"/>
      <w:r w:rsidRPr="0078361C">
        <w:rPr>
          <w:rFonts w:ascii="Tahoma" w:eastAsia="Times New Roman" w:hAnsi="Tahoma" w:cs="Tahoma"/>
          <w:color w:val="3D3B39"/>
          <w:lang w:eastAsia="it-IT"/>
        </w:rPr>
        <w:t xml:space="preserve"> e per nutrizione parenterale.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1.4. La odierna appellante,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ha impugnato avanti al T.A.R. per la Puglia, sede di Bari, tale determinazione, in una con i presupposti atti di gara, con ricorso articolato in distinte quattro censure, e ne ha chiesto, previa sospensione, l’annullamento, con conseguente aggiudicazione della gara o, in subordine, con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1.5. Si è costituita nel primo grado di giudizio l’ASL BT, eccependo il proprio difetto di legittimazione passiva in ragione della sua estraneità alla vicenda procedimentale in oggetto, avendo la stessa aderito in ambito regionale all’unione di acquisto e conferito mandato agli Ospedali Riuniti per lo svolgimento di tutte le operazioni di gara.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1.6. Si sono costituiti altresì, nel primo grado di giudizio, anche l’Azienda Ospedaliera e la </w:t>
      </w:r>
      <w:proofErr w:type="spellStart"/>
      <w:r w:rsidRPr="0078361C">
        <w:rPr>
          <w:rFonts w:ascii="Tahoma" w:eastAsia="Times New Roman" w:hAnsi="Tahoma" w:cs="Tahoma"/>
          <w:color w:val="3D3B39"/>
          <w:lang w:eastAsia="it-IT"/>
        </w:rPr>
        <w:lastRenderedPageBreak/>
        <w:t>controinteressata</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per resistere al ricorso, di cui hanno chiesto la reiezione.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1.7. Il T.A.R. per la Puglia, sede di Bari, con la sentenza n. 784 del 16 giugno 2016, ha respinto il ricorso e ha condannato la ricorrente alla rifusione delle spese di lite.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2. Avverso tale sentenza ha proposto appello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articolando tre distinti motivi di censura che saranno di seguito esaminati, e ne ha chiesto la riforma, con conseguente annullamento dell’aggiudicazione disposta in favore di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declaratoria di inefficacia del contratto con questa stipulato e subentro, nello stesso, di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ricorrendone i presupposti di cui all’art. 122 </w:t>
      </w:r>
      <w:proofErr w:type="spellStart"/>
      <w:r w:rsidRPr="0078361C">
        <w:rPr>
          <w:rFonts w:ascii="Tahoma" w:eastAsia="Times New Roman" w:hAnsi="Tahoma" w:cs="Tahoma"/>
          <w:color w:val="3D3B39"/>
          <w:lang w:eastAsia="it-IT"/>
        </w:rPr>
        <w:t>c.p.a</w:t>
      </w:r>
      <w:proofErr w:type="spellEnd"/>
      <w:r w:rsidRPr="0078361C">
        <w:rPr>
          <w:rFonts w:ascii="Tahoma" w:eastAsia="Times New Roman" w:hAnsi="Tahoma" w:cs="Tahoma"/>
          <w:color w:val="3D3B39"/>
          <w:lang w:eastAsia="it-IT"/>
        </w:rPr>
        <w:t>.</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2.1. Si sono costituiti l’Azienda Ospedaliero Universitaria e l’aggiudicataria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entrambe per resistere all’appello, di cui hanno chiesto la reiezione.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2.2. Nella pubblica udienza del 23 marzo 2017 il Collegio, sentiti i difensori delle parti, ha trattenuto la causa in decisione.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3. L’appello di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è infondato e va respinto.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 Con il primo motivo (pp. 6-15 del ricorso) l’odierna appellante lamenta l’erroneità della sentenza impugnata nella parte in cui ha respinto il secondo motivo dell’originario ricorso, incentrato sulla violazione e/o sulla falsa applicazione dell’art. 2 del disciplinare tecnico, che individua le caratteristiche tecniche minime che devono essere possedute dai prodotti offerti, nonché sull’art. 68 del d. </w:t>
      </w:r>
      <w:proofErr w:type="spellStart"/>
      <w:r w:rsidRPr="0078361C">
        <w:rPr>
          <w:rFonts w:ascii="Tahoma" w:eastAsia="Times New Roman" w:hAnsi="Tahoma" w:cs="Tahoma"/>
          <w:color w:val="3D3B39"/>
          <w:lang w:eastAsia="it-IT"/>
        </w:rPr>
        <w:t>lgs</w:t>
      </w:r>
      <w:proofErr w:type="spellEnd"/>
      <w:r w:rsidRPr="0078361C">
        <w:rPr>
          <w:rFonts w:ascii="Tahoma" w:eastAsia="Times New Roman" w:hAnsi="Tahoma" w:cs="Tahoma"/>
          <w:color w:val="3D3B39"/>
          <w:lang w:eastAsia="it-IT"/>
        </w:rPr>
        <w:t>. n. 163 del 2006 e sugli artt. 5.1 e 6 del disciplinare di gara.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4.1. In tale doglianza la ricorrente in prime cure aveva contestato l’ammissione di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in gara: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a) in quanto le prolunghe da essa offerte per le voci 8, 9 e 10 non posseggono una caratteristica essenziale prescritta dal disciplinare tecnico a pena di esclusione e, cioè, la valvola di non ritorno (cfr. pp. 8-9 del disciplinare tecnico), poiché il dispositivo in questione è pacificamente presente solo sul deflussore principale del prodotto offerto da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b) in ogni caso, in ragione del fatto che la </w:t>
      </w:r>
      <w:proofErr w:type="spellStart"/>
      <w:r w:rsidRPr="0078361C">
        <w:rPr>
          <w:rFonts w:ascii="Tahoma" w:eastAsia="Times New Roman" w:hAnsi="Tahoma" w:cs="Tahoma"/>
          <w:color w:val="3D3B39"/>
          <w:lang w:eastAsia="it-IT"/>
        </w:rPr>
        <w:t>controinteressata</w:t>
      </w:r>
      <w:proofErr w:type="spellEnd"/>
      <w:r w:rsidRPr="0078361C">
        <w:rPr>
          <w:rFonts w:ascii="Tahoma" w:eastAsia="Times New Roman" w:hAnsi="Tahoma" w:cs="Tahoma"/>
          <w:color w:val="3D3B39"/>
          <w:lang w:eastAsia="it-IT"/>
        </w:rPr>
        <w:t xml:space="preserve"> non avesse presentato una dichiarazione di equivalenza, ai sensi dell’art. 68, comma 6, del d. </w:t>
      </w:r>
      <w:proofErr w:type="spellStart"/>
      <w:r w:rsidRPr="0078361C">
        <w:rPr>
          <w:rFonts w:ascii="Tahoma" w:eastAsia="Times New Roman" w:hAnsi="Tahoma" w:cs="Tahoma"/>
          <w:color w:val="3D3B39"/>
          <w:lang w:eastAsia="it-IT"/>
        </w:rPr>
        <w:t>lgs</w:t>
      </w:r>
      <w:proofErr w:type="spellEnd"/>
      <w:r w:rsidRPr="0078361C">
        <w:rPr>
          <w:rFonts w:ascii="Tahoma" w:eastAsia="Times New Roman" w:hAnsi="Tahoma" w:cs="Tahoma"/>
          <w:color w:val="3D3B39"/>
          <w:lang w:eastAsia="it-IT"/>
        </w:rPr>
        <w:t xml:space="preserve">. n. 163 del 2006, né avesse dimostrato in offerta che la presenza della valvola di non ritorno sul solo deflussore principale, anziché sulla prolunga, fosse in grado di assicurare un risultato equivalente a quello richiesto dalla </w:t>
      </w:r>
      <w:proofErr w:type="spellStart"/>
      <w:r w:rsidRPr="0078361C">
        <w:rPr>
          <w:rFonts w:ascii="Tahoma" w:eastAsia="Times New Roman" w:hAnsi="Tahoma" w:cs="Tahoma"/>
          <w:color w:val="3D3B39"/>
          <w:lang w:eastAsia="it-IT"/>
        </w:rPr>
        <w:t>lex</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specialis</w:t>
      </w:r>
      <w:proofErr w:type="spellEnd"/>
      <w:r w:rsidRPr="0078361C">
        <w:rPr>
          <w:rFonts w:ascii="Tahoma" w:eastAsia="Times New Roman" w:hAnsi="Tahoma" w:cs="Tahoma"/>
          <w:color w:val="3D3B39"/>
          <w:lang w:eastAsia="it-IT"/>
        </w:rPr>
        <w:t>, come invece prescritto dall’art. 6 del disciplinare di gara.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4.2. Il primo giudice, recependo le argomentazioni difensive dell’Amministrazione, ha ritenuto che la caratteristica richiesta dal disciplinare è costituita dalla presenza della valvola nel dispositivo considerato nel suo complesso, sicché il mero posizionamento della stessa sulla prolunga, come nel dispositivo offerto da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«non comporta una diversa soluzione funzionale né connota diversamente il set complessivo» (pp. 9-10 della sentenza impugnata).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4.3. Tale argomentazione è stata condivisa dal T.A.R. per la Puglia perché supportata dalle stesse operazioni di gara, posto che la Commissione ha proceduto per entrambi i dispositivi a verificare il funzionamento della valvola, come dai verbali depositati.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4.4. Non trattandosi pertanto di soluzioni alterative, secondo la sentenza impugnata, del tutto inconferente sarebbe il richiamo di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all’art. 68 del d. </w:t>
      </w:r>
      <w:proofErr w:type="spellStart"/>
      <w:r w:rsidRPr="0078361C">
        <w:rPr>
          <w:rFonts w:ascii="Tahoma" w:eastAsia="Times New Roman" w:hAnsi="Tahoma" w:cs="Tahoma"/>
          <w:color w:val="3D3B39"/>
          <w:lang w:eastAsia="it-IT"/>
        </w:rPr>
        <w:t>lgs</w:t>
      </w:r>
      <w:proofErr w:type="spellEnd"/>
      <w:r w:rsidRPr="0078361C">
        <w:rPr>
          <w:rFonts w:ascii="Tahoma" w:eastAsia="Times New Roman" w:hAnsi="Tahoma" w:cs="Tahoma"/>
          <w:color w:val="3D3B39"/>
          <w:lang w:eastAsia="it-IT"/>
        </w:rPr>
        <w:t xml:space="preserve">. n. 163 del 2006 e alla necessità di una preventiva separata dichiarazione di equivalenza da parte della </w:t>
      </w:r>
      <w:proofErr w:type="spellStart"/>
      <w:r w:rsidRPr="0078361C">
        <w:rPr>
          <w:rFonts w:ascii="Tahoma" w:eastAsia="Times New Roman" w:hAnsi="Tahoma" w:cs="Tahoma"/>
          <w:color w:val="3D3B39"/>
          <w:lang w:eastAsia="it-IT"/>
        </w:rPr>
        <w:t>controinteressata</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lastRenderedPageBreak/>
        <w:br/>
        <w:t>4.5. Il T.A.R. per la Puglia è così pervenuto a respingere il secondo motivo dell’originario ricorso, avendo la stazione appaltante osservando il medesimo criterio per entrambe le imprese (p. 10 della sentenza impugnata).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4.6. L’appellante contesta tali argomentazioni ed osserva, in senso critico, che esse dimostrerebbero come il primo giudice non abbia minimamente compreso l’oggetto della doglianza articolata e, soprattutto, il contenuto della </w:t>
      </w:r>
      <w:proofErr w:type="spellStart"/>
      <w:r w:rsidRPr="0078361C">
        <w:rPr>
          <w:rFonts w:ascii="Tahoma" w:eastAsia="Times New Roman" w:hAnsi="Tahoma" w:cs="Tahoma"/>
          <w:color w:val="3D3B39"/>
          <w:lang w:eastAsia="it-IT"/>
        </w:rPr>
        <w:t>lex</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specialis</w:t>
      </w:r>
      <w:proofErr w:type="spellEnd"/>
      <w:r w:rsidRPr="0078361C">
        <w:rPr>
          <w:rFonts w:ascii="Tahoma" w:eastAsia="Times New Roman" w:hAnsi="Tahoma" w:cs="Tahoma"/>
          <w:color w:val="3D3B39"/>
          <w:lang w:eastAsia="it-IT"/>
        </w:rPr>
        <w:t xml:space="preserve">.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4.7. L’oggetto della censura non atteneva, invero, al funzionamento del dispositivo offerto dalla </w:t>
      </w:r>
      <w:proofErr w:type="spellStart"/>
      <w:r w:rsidRPr="0078361C">
        <w:rPr>
          <w:rFonts w:ascii="Tahoma" w:eastAsia="Times New Roman" w:hAnsi="Tahoma" w:cs="Tahoma"/>
          <w:color w:val="3D3B39"/>
          <w:lang w:eastAsia="it-IT"/>
        </w:rPr>
        <w:t>controinteressata</w:t>
      </w:r>
      <w:proofErr w:type="spellEnd"/>
      <w:r w:rsidRPr="0078361C">
        <w:rPr>
          <w:rFonts w:ascii="Tahoma" w:eastAsia="Times New Roman" w:hAnsi="Tahoma" w:cs="Tahoma"/>
          <w:color w:val="3D3B39"/>
          <w:lang w:eastAsia="it-IT"/>
        </w:rPr>
        <w:t xml:space="preserve">, bensì alla mancanza, in esso, di un requisito tecnologico fondamentale, prescritto a pena di esclusione dalla </w:t>
      </w:r>
      <w:proofErr w:type="spellStart"/>
      <w:r w:rsidRPr="0078361C">
        <w:rPr>
          <w:rFonts w:ascii="Tahoma" w:eastAsia="Times New Roman" w:hAnsi="Tahoma" w:cs="Tahoma"/>
          <w:color w:val="3D3B39"/>
          <w:lang w:eastAsia="it-IT"/>
        </w:rPr>
        <w:t>lex</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specialis</w:t>
      </w:r>
      <w:proofErr w:type="spellEnd"/>
      <w:r w:rsidRPr="0078361C">
        <w:rPr>
          <w:rFonts w:ascii="Tahoma" w:eastAsia="Times New Roman" w:hAnsi="Tahoma" w:cs="Tahoma"/>
          <w:color w:val="3D3B39"/>
          <w:lang w:eastAsia="it-IT"/>
        </w:rPr>
        <w:t xml:space="preserve">.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4.8.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deduce, in particolare, di non avere mai contestato il funzionamento della valvola di non ritorno presente sul deflussore, bensì il fatto che tale valvola non fosse presente sulla prolunga, come era espressamente previsto dalla </w:t>
      </w:r>
      <w:proofErr w:type="spellStart"/>
      <w:r w:rsidRPr="0078361C">
        <w:rPr>
          <w:rFonts w:ascii="Tahoma" w:eastAsia="Times New Roman" w:hAnsi="Tahoma" w:cs="Tahoma"/>
          <w:color w:val="3D3B39"/>
          <w:lang w:eastAsia="it-IT"/>
        </w:rPr>
        <w:t>lex</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specialis</w:t>
      </w:r>
      <w:proofErr w:type="spellEnd"/>
      <w:r w:rsidRPr="0078361C">
        <w:rPr>
          <w:rFonts w:ascii="Tahoma" w:eastAsia="Times New Roman" w:hAnsi="Tahoma" w:cs="Tahoma"/>
          <w:color w:val="3D3B39"/>
          <w:lang w:eastAsia="it-IT"/>
        </w:rPr>
        <w:t xml:space="preserve">.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4.9. Ciò che, a giudizio di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avrebbe dovuto indurre la stazione appaltante alla necessaria esclusione di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dalla gara.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4.10. Il disciplinare tecnico, alle pp. 8-9, disponeva in modo chiaro che le prolunghe avrebbero dovuto essere dotate, tra l’altro, di valvola di non ritorno.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4.11. Tale valvola serve per evitare pericolosi rischi di errata miscelazione dei farmaci antiblastici, antiblastici fotosensibili e fotosensibili-</w:t>
      </w:r>
      <w:proofErr w:type="spellStart"/>
      <w:r w:rsidRPr="0078361C">
        <w:rPr>
          <w:rFonts w:ascii="Tahoma" w:eastAsia="Times New Roman" w:hAnsi="Tahoma" w:cs="Tahoma"/>
          <w:color w:val="3D3B39"/>
          <w:lang w:eastAsia="it-IT"/>
        </w:rPr>
        <w:t>taxani</w:t>
      </w:r>
      <w:proofErr w:type="spellEnd"/>
      <w:r w:rsidRPr="0078361C">
        <w:rPr>
          <w:rFonts w:ascii="Tahoma" w:eastAsia="Times New Roman" w:hAnsi="Tahoma" w:cs="Tahoma"/>
          <w:color w:val="3D3B39"/>
          <w:lang w:eastAsia="it-IT"/>
        </w:rPr>
        <w:t xml:space="preserve"> che, tramite le prolunghe medesime, devono essere somministrati ai pazienti, sicché l’imprescindibilità della presenza di un simile dispositivo di sicurezza ai fini dell’ammissione alla gara risulterebbe evidente.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4.12. Invece, come emerge anche dalle difese dell’Amministrazione resistente in prime cure, tutti i set offerti da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per le suddette voci, contraddistinti dai </w:t>
      </w:r>
      <w:proofErr w:type="spellStart"/>
      <w:r w:rsidRPr="0078361C">
        <w:rPr>
          <w:rFonts w:ascii="Tahoma" w:eastAsia="Times New Roman" w:hAnsi="Tahoma" w:cs="Tahoma"/>
          <w:color w:val="3D3B39"/>
          <w:lang w:eastAsia="it-IT"/>
        </w:rPr>
        <w:t>nn</w:t>
      </w:r>
      <w:proofErr w:type="spellEnd"/>
      <w:r w:rsidRPr="0078361C">
        <w:rPr>
          <w:rFonts w:ascii="Tahoma" w:eastAsia="Times New Roman" w:hAnsi="Tahoma" w:cs="Tahoma"/>
          <w:color w:val="3D3B39"/>
          <w:lang w:eastAsia="it-IT"/>
        </w:rPr>
        <w:t>. di riferimento 76.4853 (Voce 8), 76.4886 (Voce 9) e 76.4889 (Voce 10), possiedono semplicemente una «valvola aperto/chiuso che si apre quando si connette la siringa e si chiude quando viene disconnessa» e, cioè, un dispositivo del tutto differente rispetto alla valvola di non ritorno, che serve esclusivamente per soddisfare il diverso requisito, parimenti prescritto a pena di esclusione dal disciplinare tecnico, di consentire l’«accesso senz’aghi per l’inserimento del farmaco nel flacone/sacca».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4.13. La valvola di non ritorno, invece, è presente solo sul deflussore principale del dispositivo offerto da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4.14. Il primo giudice avrebbe singolarmente ritenuto, in adesione alla tesi sostenuta dalla stazione appaltante, che la sopra richiamata previsione della </w:t>
      </w:r>
      <w:proofErr w:type="spellStart"/>
      <w:r w:rsidRPr="0078361C">
        <w:rPr>
          <w:rFonts w:ascii="Tahoma" w:eastAsia="Times New Roman" w:hAnsi="Tahoma" w:cs="Tahoma"/>
          <w:color w:val="3D3B39"/>
          <w:lang w:eastAsia="it-IT"/>
        </w:rPr>
        <w:t>lex</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specialis</w:t>
      </w:r>
      <w:proofErr w:type="spellEnd"/>
      <w:r w:rsidRPr="0078361C">
        <w:rPr>
          <w:rFonts w:ascii="Tahoma" w:eastAsia="Times New Roman" w:hAnsi="Tahoma" w:cs="Tahoma"/>
          <w:color w:val="3D3B39"/>
          <w:lang w:eastAsia="it-IT"/>
        </w:rPr>
        <w:t xml:space="preserve"> doveva interpretarsi nel senso di imporre la presenza della valvola in questione sul dispositivo complessivamente considerato, essendo indifferente il suo posizionamento.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4.15. Ma tale interpretazione sarebbe inaccettabile, secondo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perché verrebbe a modificare illegittimamente ex post la disciplinare di gara.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4.16. La sentenza impugnata, d’altro canto, meriterebbe riforma anche laddove ha ritenuto inconferente il richiamo all’art. 68 del d. </w:t>
      </w:r>
      <w:proofErr w:type="spellStart"/>
      <w:r w:rsidRPr="0078361C">
        <w:rPr>
          <w:rFonts w:ascii="Tahoma" w:eastAsia="Times New Roman" w:hAnsi="Tahoma" w:cs="Tahoma"/>
          <w:color w:val="3D3B39"/>
          <w:lang w:eastAsia="it-IT"/>
        </w:rPr>
        <w:t>lgs</w:t>
      </w:r>
      <w:proofErr w:type="spellEnd"/>
      <w:r w:rsidRPr="0078361C">
        <w:rPr>
          <w:rFonts w:ascii="Tahoma" w:eastAsia="Times New Roman" w:hAnsi="Tahoma" w:cs="Tahoma"/>
          <w:color w:val="3D3B39"/>
          <w:lang w:eastAsia="it-IT"/>
        </w:rPr>
        <w:t>. n. 163 del 2006.</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4.17. Una volta emersa la differenza oggettivamente esistente tra il prodotto offerto dall’aggiudicataria e le prescrizioni della </w:t>
      </w:r>
      <w:proofErr w:type="spellStart"/>
      <w:r w:rsidRPr="0078361C">
        <w:rPr>
          <w:rFonts w:ascii="Tahoma" w:eastAsia="Times New Roman" w:hAnsi="Tahoma" w:cs="Tahoma"/>
          <w:color w:val="3D3B39"/>
          <w:lang w:eastAsia="it-IT"/>
        </w:rPr>
        <w:t>lex</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specialis</w:t>
      </w:r>
      <w:proofErr w:type="spellEnd"/>
      <w:r w:rsidRPr="0078361C">
        <w:rPr>
          <w:rFonts w:ascii="Tahoma" w:eastAsia="Times New Roman" w:hAnsi="Tahoma" w:cs="Tahoma"/>
          <w:color w:val="3D3B39"/>
          <w:lang w:eastAsia="it-IT"/>
        </w:rPr>
        <w:t xml:space="preserve">, infatti, la Commissione di gara non avrebbe </w:t>
      </w:r>
      <w:proofErr w:type="spellStart"/>
      <w:r w:rsidRPr="0078361C">
        <w:rPr>
          <w:rFonts w:ascii="Tahoma" w:eastAsia="Times New Roman" w:hAnsi="Tahoma" w:cs="Tahoma"/>
          <w:color w:val="3D3B39"/>
          <w:lang w:eastAsia="it-IT"/>
        </w:rPr>
        <w:lastRenderedPageBreak/>
        <w:t>motu</w:t>
      </w:r>
      <w:proofErr w:type="spellEnd"/>
      <w:r w:rsidRPr="0078361C">
        <w:rPr>
          <w:rFonts w:ascii="Tahoma" w:eastAsia="Times New Roman" w:hAnsi="Tahoma" w:cs="Tahoma"/>
          <w:color w:val="3D3B39"/>
          <w:lang w:eastAsia="it-IT"/>
        </w:rPr>
        <w:t xml:space="preserve"> proprio ritenere che la presenza della valvola di non ritorno sul solo deflussore principale, al quale va collegata la prolunga, fosse sufficiente per assicurare un risultato equivalente a quello richiesto tramite la specifica introdotta dal disciplinare tecnico.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4.18. Quand’anche volesse ritenersi che ciò sia vero – e così non è, secondo l’appellante, a cagione della oggettiva diversità tecnica dei due sistemi e «della maggiore sicurezza che la presenza della valvola di non ritorno sulla prolunga è in grado di assicurare» (p. 12 del ricorso) – avrebbe dovuto essere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a dimostrare, nella presentazione dell’offerta, l’equivalenza, segnalandolo, ai sensi dell’art. 6 del disciplinare di gara, con separata dichiarazione allegata all’offerta.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4.19. Ma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al contrario, non ha presentato alcuna dichiarazione di equivalenza, ai sensi dell’art. 68, comma 6, del d. </w:t>
      </w:r>
      <w:proofErr w:type="spellStart"/>
      <w:r w:rsidRPr="0078361C">
        <w:rPr>
          <w:rFonts w:ascii="Tahoma" w:eastAsia="Times New Roman" w:hAnsi="Tahoma" w:cs="Tahoma"/>
          <w:color w:val="3D3B39"/>
          <w:lang w:eastAsia="it-IT"/>
        </w:rPr>
        <w:t>lgs</w:t>
      </w:r>
      <w:proofErr w:type="spellEnd"/>
      <w:r w:rsidRPr="0078361C">
        <w:rPr>
          <w:rFonts w:ascii="Tahoma" w:eastAsia="Times New Roman" w:hAnsi="Tahoma" w:cs="Tahoma"/>
          <w:color w:val="3D3B39"/>
          <w:lang w:eastAsia="it-IT"/>
        </w:rPr>
        <w:t xml:space="preserve">. n. 163 del 2006, né ha dimostrato in offerta che la presenza della valvola di non ritorno sul solo deflussore principale, anziché sulla prolunga, fosse in grado di assicurare un risultato equivalente a quello richiesto dalla </w:t>
      </w:r>
      <w:proofErr w:type="spellStart"/>
      <w:r w:rsidRPr="0078361C">
        <w:rPr>
          <w:rFonts w:ascii="Tahoma" w:eastAsia="Times New Roman" w:hAnsi="Tahoma" w:cs="Tahoma"/>
          <w:color w:val="3D3B39"/>
          <w:lang w:eastAsia="it-IT"/>
        </w:rPr>
        <w:t>lex</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specialis</w:t>
      </w:r>
      <w:proofErr w:type="spellEnd"/>
      <w:r w:rsidRPr="0078361C">
        <w:rPr>
          <w:rFonts w:ascii="Tahoma" w:eastAsia="Times New Roman" w:hAnsi="Tahoma" w:cs="Tahoma"/>
          <w:color w:val="3D3B39"/>
          <w:lang w:eastAsia="it-IT"/>
        </w:rPr>
        <w:t xml:space="preserve">.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4.20. In applicazione delle previsioni di cui all’art. 68 del d. </w:t>
      </w:r>
      <w:proofErr w:type="spellStart"/>
      <w:r w:rsidRPr="0078361C">
        <w:rPr>
          <w:rFonts w:ascii="Tahoma" w:eastAsia="Times New Roman" w:hAnsi="Tahoma" w:cs="Tahoma"/>
          <w:color w:val="3D3B39"/>
          <w:lang w:eastAsia="it-IT"/>
        </w:rPr>
        <w:t>lgs</w:t>
      </w:r>
      <w:proofErr w:type="spellEnd"/>
      <w:r w:rsidRPr="0078361C">
        <w:rPr>
          <w:rFonts w:ascii="Tahoma" w:eastAsia="Times New Roman" w:hAnsi="Tahoma" w:cs="Tahoma"/>
          <w:color w:val="3D3B39"/>
          <w:lang w:eastAsia="it-IT"/>
        </w:rPr>
        <w:t xml:space="preserve">. n. 163 del 2006 e del fondamentale principio di par condicio tra i partecipanti, in conclusione, doveva essere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a dimostrare l’effettiva equivalenza del prodotto offerto rispetto a quello diverso richiesto dalla </w:t>
      </w:r>
      <w:proofErr w:type="spellStart"/>
      <w:r w:rsidRPr="0078361C">
        <w:rPr>
          <w:rFonts w:ascii="Tahoma" w:eastAsia="Times New Roman" w:hAnsi="Tahoma" w:cs="Tahoma"/>
          <w:color w:val="3D3B39"/>
          <w:lang w:eastAsia="it-IT"/>
        </w:rPr>
        <w:t>lex</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specialis</w:t>
      </w:r>
      <w:proofErr w:type="spellEnd"/>
      <w:r w:rsidRPr="0078361C">
        <w:rPr>
          <w:rFonts w:ascii="Tahoma" w:eastAsia="Times New Roman" w:hAnsi="Tahoma" w:cs="Tahoma"/>
          <w:color w:val="3D3B39"/>
          <w:lang w:eastAsia="it-IT"/>
        </w:rPr>
        <w:t>, non potendo la Commissione di gara sostituirsi in questa operazione al concorrente rimasto inerte.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4.21. La tesi dell’appellante, pur suggestiva, non merita accoglimento.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4.22. Nei sistemi prodotti dal gruppo </w:t>
      </w:r>
      <w:proofErr w:type="spellStart"/>
      <w:r w:rsidRPr="0078361C">
        <w:rPr>
          <w:rFonts w:ascii="Tahoma" w:eastAsia="Times New Roman" w:hAnsi="Tahoma" w:cs="Tahoma"/>
          <w:color w:val="3D3B39"/>
          <w:lang w:eastAsia="it-IT"/>
        </w:rPr>
        <w:t>Codan</w:t>
      </w:r>
      <w:proofErr w:type="spellEnd"/>
      <w:r w:rsidRPr="0078361C">
        <w:rPr>
          <w:rFonts w:ascii="Tahoma" w:eastAsia="Times New Roman" w:hAnsi="Tahoma" w:cs="Tahoma"/>
          <w:color w:val="3D3B39"/>
          <w:lang w:eastAsia="it-IT"/>
        </w:rPr>
        <w:t xml:space="preserve">, quali sono quelli offerti da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le cc.dd. valvole di non ritorno sono incorporate nei deflussori anziché nei set di connessione.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4.23. Tale configurazione, pur rendendo il prodotto più oneroso, ne assicura tuttavia una resa qualitativa non diversa per la ragione che la valvola di non ritorno, più vicina alla linea principale, consente un’azione di risciacquo rapida ed efficace analoga, se non superiore, all’altra tipologia di prodotto.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4.24. Gli operatori del settore, comunque, sanno bene che entrambe le tipologie di prodotto – quelle con le valvole incorporate sui deflussori e quelle con le valvole incorporate sulla prolunga – sono disponibili sul mercato, con identica funzionalità tecnica, ed entrambe infatti sono comunemente e indifferentemente accettate nelle gare di appalto come quella di cui si controverte.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4.25. La piena rispondenza del prodotto offerto da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alle prescrizioni di gara, non a caso, è stata accertata dalla Commissione di gara nelle riunioni riservate dell’11 novembre 2015 e del 14 dicembre 2015 (verbali n. 3 e n. 5, </w:t>
      </w:r>
      <w:proofErr w:type="spellStart"/>
      <w:r w:rsidRPr="0078361C">
        <w:rPr>
          <w:rFonts w:ascii="Tahoma" w:eastAsia="Times New Roman" w:hAnsi="Tahoma" w:cs="Tahoma"/>
          <w:color w:val="3D3B39"/>
          <w:lang w:eastAsia="it-IT"/>
        </w:rPr>
        <w:t>docc</w:t>
      </w:r>
      <w:proofErr w:type="spellEnd"/>
      <w:r w:rsidRPr="0078361C">
        <w:rPr>
          <w:rFonts w:ascii="Tahoma" w:eastAsia="Times New Roman" w:hAnsi="Tahoma" w:cs="Tahoma"/>
          <w:color w:val="3D3B39"/>
          <w:lang w:eastAsia="it-IT"/>
        </w:rPr>
        <w:t xml:space="preserve">. 7 e 9 fasc. parte ricorrente in primo grado), come ha opportunamente ricordato il primo giudice, e l’esito di tali operazioni preliminari, dopo l’accurata verifica delle caratteristiche della valvola rispetto al mantenimento del circuito chiuso, è stato favorevole per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4.26. Le risultanze dei verbali di gara non sono state, sul punto, minimamente contestate dalla stessa appellante, che anche in questa sede continua ad invocare l’essenzialità della presenza della valvola sulla prolunga anziché, come è nel prodotto presentato dall’aggiudicataria, sul deflussore principale.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4.27. Ma la tesi dell’appellante non può essere seguita nemmeno sul punto perché il posizionamento della valvola sulle prolunghe non era elemento essenziale dell’offerta, a differenza di quanto essa sostiene, giacché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non ha dimostrato affatto che il </w:t>
      </w:r>
      <w:r w:rsidRPr="0078361C">
        <w:rPr>
          <w:rFonts w:ascii="Tahoma" w:eastAsia="Times New Roman" w:hAnsi="Tahoma" w:cs="Tahoma"/>
          <w:color w:val="3D3B39"/>
          <w:lang w:eastAsia="it-IT"/>
        </w:rPr>
        <w:lastRenderedPageBreak/>
        <w:t>posizionamento sulle prolunghe costituisse una indicazione di minima tale da incidere sulla funzionalità del prodotto e da renderlo inidoneo alla funzionalità richiesta.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4.28. Vano è invocare il mero dato letterale del capitolato tecnico, alle pp. 8-9, quando non si è offerta alcuna dimostrazione che il differente posizionamento della valvola di non ritorno sul deflussore principale renderebbe il prodotto di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incomparabilmente diverso da quello richiesto dal capitolato.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4.29. Non vi è dubbio che tale prodotto possedesse la valvola di non ritorno, benché posizionata sul deflussore principale, e che tale differente posizionamento non abbia inciso sulla sua funzionalità, come la Commissione di gara ha acclarato con apposite verifiche il cui esito è rimasto incontestato dalla stessa appellante.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4.30. Non il posizionamento in sé della valvola di non ritorno sulle prolunghe, dunque, ma la sua presenza era la caratteristica minima essenziale prevista dal disciplinare tecnico, che ha fatto riferimento alle prolunghe solo per la circostanza, ben nota ad un operatore del settore come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che queste possono trovarsi, nei prodotti sul mercato, tanto sul deflussore principale quanto, e almeno, sulla prolunga.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4.31. La previsione del disciplinare tecnico, in questo senso, è stata correttamente interpretata dal T.A.R. per la Puglia e deve essere correttamente interpretata ispirandosi al criterio della massima apertura alla concorrenza e non già secondo una angusta, restrittiva, formalistica, anticoncorrenziale lettura della </w:t>
      </w:r>
      <w:proofErr w:type="spellStart"/>
      <w:r w:rsidRPr="0078361C">
        <w:rPr>
          <w:rFonts w:ascii="Tahoma" w:eastAsia="Times New Roman" w:hAnsi="Tahoma" w:cs="Tahoma"/>
          <w:color w:val="3D3B39"/>
          <w:lang w:eastAsia="it-IT"/>
        </w:rPr>
        <w:t>lex</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specialis</w:t>
      </w:r>
      <w:proofErr w:type="spellEnd"/>
      <w:r w:rsidRPr="0078361C">
        <w:rPr>
          <w:rFonts w:ascii="Tahoma" w:eastAsia="Times New Roman" w:hAnsi="Tahoma" w:cs="Tahoma"/>
          <w:color w:val="3D3B39"/>
          <w:lang w:eastAsia="it-IT"/>
        </w:rPr>
        <w:t xml:space="preserve"> che svilisce il senso delle sue previsioni, intese a prevedere solo, come detto, l’essenziale presenza della valvola di non ritorno e non già del suo posizionamento.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4.32. Di qui, per le ragioni esposte, la reiezione del motivo, non ravvisandosi, peraltro, alcuna violazione dell’art. 68 del d. </w:t>
      </w:r>
      <w:proofErr w:type="spellStart"/>
      <w:r w:rsidRPr="0078361C">
        <w:rPr>
          <w:rFonts w:ascii="Tahoma" w:eastAsia="Times New Roman" w:hAnsi="Tahoma" w:cs="Tahoma"/>
          <w:color w:val="3D3B39"/>
          <w:lang w:eastAsia="it-IT"/>
        </w:rPr>
        <w:t>lgs</w:t>
      </w:r>
      <w:proofErr w:type="spellEnd"/>
      <w:r w:rsidRPr="0078361C">
        <w:rPr>
          <w:rFonts w:ascii="Tahoma" w:eastAsia="Times New Roman" w:hAnsi="Tahoma" w:cs="Tahoma"/>
          <w:color w:val="3D3B39"/>
          <w:lang w:eastAsia="it-IT"/>
        </w:rPr>
        <w:t>. n. 163 del 2006 nella mancata dimostrazione, da parte dell’aggiudicataria, di una equivalenza rapportata ad una caratteristica non essenziale dell’offerta, la cui rispondenza in tutto e per tutto alle previsioni del capitolato speciale, quanto al mantenimento del circuito chiuso, era stata accuratamente verificata, con esito positivo, dalla Commissione di gara.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5. Con il secondo motivo (pp. 15-19 del ricorso) l’odierna appellante intende dimostrare, anche attraverso delle esemplificazioni grafiche delle schede tecniche dei prodotti offerti da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(pp. 17-18 del ricorso), che la sentenza impugnata avrebbe errato, respingendo il terzo motivo dell’originario ricorso, nel ritenere che i dispositivi offerti dall’aggiudicataria soddisfacessero i requisiti minimi richiesti dal disciplinare tecnico quanto alla voce 1, deflussore sterile monouso per infusione tramite pompa di farmaci e lipidi, e quanto alla voce 2, deflussore sterile monouso per infusione tramite pompa di farmaci incompatibili per il PVC, quando invece tali deflussori non disporrebbero della richiesta seconda via con attacco </w:t>
      </w:r>
      <w:proofErr w:type="spellStart"/>
      <w:r w:rsidRPr="0078361C">
        <w:rPr>
          <w:rFonts w:ascii="Tahoma" w:eastAsia="Times New Roman" w:hAnsi="Tahoma" w:cs="Tahoma"/>
          <w:color w:val="3D3B39"/>
          <w:lang w:eastAsia="it-IT"/>
        </w:rPr>
        <w:t>luer-lock</w:t>
      </w:r>
      <w:proofErr w:type="spellEnd"/>
      <w:r w:rsidRPr="0078361C">
        <w:rPr>
          <w:rFonts w:ascii="Tahoma" w:eastAsia="Times New Roman" w:hAnsi="Tahoma" w:cs="Tahoma"/>
          <w:color w:val="3D3B39"/>
          <w:lang w:eastAsia="it-IT"/>
        </w:rPr>
        <w:t xml:space="preserve">.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5.1. Un simile assunto, secondo il primo giudice, è smentito dalla stessa scheda tecnica del prodotto (p. 10 della sentenza impugnata).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5.2.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contesta tale motivazione e, riproducendo appunto – come accennato – le schede tecniche dei prodotti offerti da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deduce che su entrambi i deflussori sarebbe presente un solo attacco </w:t>
      </w:r>
      <w:proofErr w:type="spellStart"/>
      <w:r w:rsidRPr="0078361C">
        <w:rPr>
          <w:rFonts w:ascii="Tahoma" w:eastAsia="Times New Roman" w:hAnsi="Tahoma" w:cs="Tahoma"/>
          <w:color w:val="3D3B39"/>
          <w:lang w:eastAsia="it-IT"/>
        </w:rPr>
        <w:t>luer-lock</w:t>
      </w:r>
      <w:proofErr w:type="spellEnd"/>
      <w:r w:rsidRPr="0078361C">
        <w:rPr>
          <w:rFonts w:ascii="Tahoma" w:eastAsia="Times New Roman" w:hAnsi="Tahoma" w:cs="Tahoma"/>
          <w:color w:val="3D3B39"/>
          <w:lang w:eastAsia="it-IT"/>
        </w:rPr>
        <w:t>, denominato nella scheda stessa “Adattatore LL senz’ago SWAN LOCK”.</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5.3. Il deflussore offerto dall’aggiudicataria, secondo l’appellante, soddisferebbe solo il requisito minimo di essere dotato di «tubo trasparente dotato di punto di iniezione a Y distale per somministrazioni in bolo o come accesso di emergenza», ma non quello di avere una seconda via </w:t>
      </w:r>
      <w:r w:rsidRPr="0078361C">
        <w:rPr>
          <w:rFonts w:ascii="Tahoma" w:eastAsia="Times New Roman" w:hAnsi="Tahoma" w:cs="Tahoma"/>
          <w:color w:val="3D3B39"/>
          <w:lang w:eastAsia="it-IT"/>
        </w:rPr>
        <w:lastRenderedPageBreak/>
        <w:t xml:space="preserve">con attacco </w:t>
      </w:r>
      <w:proofErr w:type="spellStart"/>
      <w:r w:rsidRPr="0078361C">
        <w:rPr>
          <w:rFonts w:ascii="Tahoma" w:eastAsia="Times New Roman" w:hAnsi="Tahoma" w:cs="Tahoma"/>
          <w:color w:val="3D3B39"/>
          <w:lang w:eastAsia="it-IT"/>
        </w:rPr>
        <w:t>luer-lock</w:t>
      </w:r>
      <w:proofErr w:type="spellEnd"/>
      <w:r w:rsidRPr="0078361C">
        <w:rPr>
          <w:rFonts w:ascii="Tahoma" w:eastAsia="Times New Roman" w:hAnsi="Tahoma" w:cs="Tahoma"/>
          <w:color w:val="3D3B39"/>
          <w:lang w:eastAsia="it-IT"/>
        </w:rPr>
        <w:t xml:space="preserve">.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5.4. Contrariamente a quanto ha ritenuto il T.A.R. per la Puglia, dunque, il prodotto offerto da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non soddisferebbe, neppure sotto questo profilo, i requisiti tecnici minimi prescritti a pena di esclusione dal disciplinare tecnico.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5.5. Ciò avrebbe determinato anche una rilevante distorsione del confronto concorrenziale in sede di gara per la ragione che i deflussori a singola via presentano costi decisamente inferiori rispetto al deflussore richiesto dalla </w:t>
      </w:r>
      <w:proofErr w:type="spellStart"/>
      <w:r w:rsidRPr="0078361C">
        <w:rPr>
          <w:rFonts w:ascii="Tahoma" w:eastAsia="Times New Roman" w:hAnsi="Tahoma" w:cs="Tahoma"/>
          <w:color w:val="3D3B39"/>
          <w:lang w:eastAsia="it-IT"/>
        </w:rPr>
        <w:t>lex</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specialis</w:t>
      </w:r>
      <w:proofErr w:type="spellEnd"/>
      <w:r w:rsidRPr="0078361C">
        <w:rPr>
          <w:rFonts w:ascii="Tahoma" w:eastAsia="Times New Roman" w:hAnsi="Tahoma" w:cs="Tahoma"/>
          <w:color w:val="3D3B39"/>
          <w:lang w:eastAsia="it-IT"/>
        </w:rPr>
        <w:t xml:space="preserve">, sicché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ha potuto offrire un prodotto a prezzo più basso rispetto ad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che pure nel proprio listino ha soluzioni analoghe a quelle proposte dalla </w:t>
      </w:r>
      <w:proofErr w:type="spellStart"/>
      <w:r w:rsidRPr="0078361C">
        <w:rPr>
          <w:rFonts w:ascii="Tahoma" w:eastAsia="Times New Roman" w:hAnsi="Tahoma" w:cs="Tahoma"/>
          <w:color w:val="3D3B39"/>
          <w:lang w:eastAsia="it-IT"/>
        </w:rPr>
        <w:t>controinteressata</w:t>
      </w:r>
      <w:proofErr w:type="spellEnd"/>
      <w:r w:rsidRPr="0078361C">
        <w:rPr>
          <w:rFonts w:ascii="Tahoma" w:eastAsia="Times New Roman" w:hAnsi="Tahoma" w:cs="Tahoma"/>
          <w:color w:val="3D3B39"/>
          <w:lang w:eastAsia="it-IT"/>
        </w:rPr>
        <w:t xml:space="preserve"> e, cioè, a singola via e senza una seconda via con attacco </w:t>
      </w:r>
      <w:proofErr w:type="spellStart"/>
      <w:r w:rsidRPr="0078361C">
        <w:rPr>
          <w:rFonts w:ascii="Tahoma" w:eastAsia="Times New Roman" w:hAnsi="Tahoma" w:cs="Tahoma"/>
          <w:color w:val="3D3B39"/>
          <w:lang w:eastAsia="it-IT"/>
        </w:rPr>
        <w:t>luer-lock</w:t>
      </w:r>
      <w:proofErr w:type="spellEnd"/>
      <w:r w:rsidRPr="0078361C">
        <w:rPr>
          <w:rFonts w:ascii="Tahoma" w:eastAsia="Times New Roman" w:hAnsi="Tahoma" w:cs="Tahoma"/>
          <w:color w:val="3D3B39"/>
          <w:lang w:eastAsia="it-IT"/>
        </w:rPr>
        <w:t xml:space="preserve">.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5.6. La censura è anch’essa destituita di fondamento.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5.7. Il dispositivo della casa produttrice </w:t>
      </w:r>
      <w:proofErr w:type="spellStart"/>
      <w:r w:rsidRPr="0078361C">
        <w:rPr>
          <w:rFonts w:ascii="Tahoma" w:eastAsia="Times New Roman" w:hAnsi="Tahoma" w:cs="Tahoma"/>
          <w:color w:val="3D3B39"/>
          <w:lang w:eastAsia="it-IT"/>
        </w:rPr>
        <w:t>Codan</w:t>
      </w:r>
      <w:proofErr w:type="spellEnd"/>
      <w:r w:rsidRPr="0078361C">
        <w:rPr>
          <w:rFonts w:ascii="Tahoma" w:eastAsia="Times New Roman" w:hAnsi="Tahoma" w:cs="Tahoma"/>
          <w:color w:val="3D3B39"/>
          <w:lang w:eastAsia="it-IT"/>
        </w:rPr>
        <w:t xml:space="preserve">, infatti, è strutturato in modo tale che l’accesso principale (c.d. prima via) viene inserito nel contenitore del farmaco, attraverso il perforatore (c.d. </w:t>
      </w:r>
      <w:proofErr w:type="spellStart"/>
      <w:r w:rsidRPr="0078361C">
        <w:rPr>
          <w:rFonts w:ascii="Tahoma" w:eastAsia="Times New Roman" w:hAnsi="Tahoma" w:cs="Tahoma"/>
          <w:color w:val="3D3B39"/>
          <w:lang w:eastAsia="it-IT"/>
        </w:rPr>
        <w:t>spike</w:t>
      </w:r>
      <w:proofErr w:type="spellEnd"/>
      <w:r w:rsidRPr="0078361C">
        <w:rPr>
          <w:rFonts w:ascii="Tahoma" w:eastAsia="Times New Roman" w:hAnsi="Tahoma" w:cs="Tahoma"/>
          <w:color w:val="3D3B39"/>
          <w:lang w:eastAsia="it-IT"/>
        </w:rPr>
        <w:t xml:space="preserve">), mentre il secondo accesso – appunto la c.d. seconda via con attacco </w:t>
      </w:r>
      <w:proofErr w:type="spellStart"/>
      <w:r w:rsidRPr="0078361C">
        <w:rPr>
          <w:rFonts w:ascii="Tahoma" w:eastAsia="Times New Roman" w:hAnsi="Tahoma" w:cs="Tahoma"/>
          <w:color w:val="3D3B39"/>
          <w:lang w:eastAsia="it-IT"/>
        </w:rPr>
        <w:t>luer-lock</w:t>
      </w:r>
      <w:proofErr w:type="spellEnd"/>
      <w:r w:rsidRPr="0078361C">
        <w:rPr>
          <w:rFonts w:ascii="Tahoma" w:eastAsia="Times New Roman" w:hAnsi="Tahoma" w:cs="Tahoma"/>
          <w:color w:val="3D3B39"/>
          <w:lang w:eastAsia="it-IT"/>
        </w:rPr>
        <w:t xml:space="preserve"> – avviene in presenza dell’adattatore senza ago (indicato, come visto, con “Adattatore LL senz’ago SWAN LOCK” nella scheda tecnica).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5.8. La presenza della c.d. seconda via – dato, questo, fondamentale, del tutto taciuto dall’appellante – è stata accertata del resto, anche per tale aspetto, accertata dalla Commissione di gara nel già citato verbale n. 5 del 14 dicembre 2015 (doc. 9 fasc. parte ricorrente in primo grado), con puntuale verifica il cui esito positivo, anche in questo caso, non è stato minimamente contestato dall’appellante, anche ai sensi e per gli effetti dell’art. 64, comma 2, </w:t>
      </w:r>
      <w:proofErr w:type="spellStart"/>
      <w:r w:rsidRPr="0078361C">
        <w:rPr>
          <w:rFonts w:ascii="Tahoma" w:eastAsia="Times New Roman" w:hAnsi="Tahoma" w:cs="Tahoma"/>
          <w:color w:val="3D3B39"/>
          <w:lang w:eastAsia="it-IT"/>
        </w:rPr>
        <w:t>c.p.a</w:t>
      </w:r>
      <w:proofErr w:type="spellEnd"/>
      <w:r w:rsidRPr="0078361C">
        <w:rPr>
          <w:rFonts w:ascii="Tahoma" w:eastAsia="Times New Roman" w:hAnsi="Tahoma" w:cs="Tahoma"/>
          <w:color w:val="3D3B39"/>
          <w:lang w:eastAsia="it-IT"/>
        </w:rPr>
        <w:t>.</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 Infine, con il terzo motivo (20-23 del ricorso), l’odierna appellante deduce l’erroneità della sentenza impugnata laddove, respingendo il quarto motivo dell’originario ricorso, ha ritenuto che l’Azienda Ospedaliero Universitaria non avesse violato l’art. 82 del d. </w:t>
      </w:r>
      <w:proofErr w:type="spellStart"/>
      <w:r w:rsidRPr="0078361C">
        <w:rPr>
          <w:rFonts w:ascii="Tahoma" w:eastAsia="Times New Roman" w:hAnsi="Tahoma" w:cs="Tahoma"/>
          <w:color w:val="3D3B39"/>
          <w:lang w:eastAsia="it-IT"/>
        </w:rPr>
        <w:t>lgs</w:t>
      </w:r>
      <w:proofErr w:type="spellEnd"/>
      <w:r w:rsidRPr="0078361C">
        <w:rPr>
          <w:rFonts w:ascii="Tahoma" w:eastAsia="Times New Roman" w:hAnsi="Tahoma" w:cs="Tahoma"/>
          <w:color w:val="3D3B39"/>
          <w:lang w:eastAsia="it-IT"/>
        </w:rPr>
        <w:t>. n. 163 del 2006 a cagione della forte sproporzione di punteggio tra la fornitura, in regime di somministrazione, dei materiali di consumo, alla quale andavano 80 punti su 100, e il noleggio delle pompe da infusioni, al quale sono stati riconosciuti solo 20 punti su 100.</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6.1. Il disciplinare di gara, deduce l’appellante, ha trattato separatamente le due componenti dell’offerta ai fini della valutazione economica e, con una forte sproporzione di punteggio tra queste che non rispecchierebbe nemmeno il loro effettivo peso economico sul valore complessivo dell’appalto, ha consentito che l’aggiudicazione fosse disposta in favore di un’offerta che non è complessivamente più bassa.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6.2. Una simile ripartizione del punteggio si porrebbe in contrasto con il criterio del prezzo più basso, di cui all’art. 82 citato, perché avrebbe consentito a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 che ha presentato un’offerta complessiva pari ad € 781.457,71, di aggiudicarsi la gara a dispetto di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che ha presentato un’offerta complessiva pari ad € 673.942,50.</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6.3. Non è in discussione, precisa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la scelta in sé di suddividere l’offerta economica in due distinte voci di prezzo ovvero di attribuire loro un peso diverso, data la diversa incidenza economica nell’appalto.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6.4. Si contesta invece, da parte dell’appellante, l’irragionevolezza derivante dalla forte sproporzione di punteggio tra le due componenti dell’offerta, neppure coerente con il loro effettivo peso economico sul valore complessivo dell’appalto, che ha condotto ad aggiudicare l’appalto all’offerta complessivamente più alta.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lastRenderedPageBreak/>
        <w:br/>
        <w:t xml:space="preserve">6.5. Il primo giudice – dopo aver evidenziato, come ora meglio si dirà, che la ricorrente aveva l’onere di impugnare immediatamente la clausola della </w:t>
      </w:r>
      <w:proofErr w:type="spellStart"/>
      <w:r w:rsidRPr="0078361C">
        <w:rPr>
          <w:rFonts w:ascii="Tahoma" w:eastAsia="Times New Roman" w:hAnsi="Tahoma" w:cs="Tahoma"/>
          <w:color w:val="3D3B39"/>
          <w:lang w:eastAsia="it-IT"/>
        </w:rPr>
        <w:t>lex</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specialis</w:t>
      </w:r>
      <w:proofErr w:type="spellEnd"/>
      <w:r w:rsidRPr="0078361C">
        <w:rPr>
          <w:rFonts w:ascii="Tahoma" w:eastAsia="Times New Roman" w:hAnsi="Tahoma" w:cs="Tahoma"/>
          <w:color w:val="3D3B39"/>
          <w:lang w:eastAsia="it-IT"/>
        </w:rPr>
        <w:t xml:space="preserve"> qui contestata – ha ritenuto, nel disattendere la censura, che il criterio di calcolo assunto dall’Amministrazione sarebbe legittimo perché inteso a premiare l’impresa concorrente che ha offerto un ribasso maggiore sulla parte di fornitura che rappresenta il più alto impegno economico per l’Amministrazione (p. 11 della sentenza impugnata) e, cioè, quella relativa alla somministrazione dei materiali di consumo.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6.6. L’appellante oppugna siffatta argomentazione perché sostiene, al contrario, che una tale finalità avrebbe potuto giustificare la scelta operata dalla stazione appaltante se si fosse, per tale via, conseguito un risparmio e non già, come infine è avvenuto, se si fosse premiata una offerta economica complessiva più onerosa, come quella di </w:t>
      </w:r>
      <w:proofErr w:type="spellStart"/>
      <w:r w:rsidRPr="0078361C">
        <w:rPr>
          <w:rFonts w:ascii="Tahoma" w:eastAsia="Times New Roman" w:hAnsi="Tahoma" w:cs="Tahoma"/>
          <w:color w:val="3D3B39"/>
          <w:lang w:eastAsia="it-IT"/>
        </w:rPr>
        <w:t>Medisan</w:t>
      </w:r>
      <w:proofErr w:type="spellEnd"/>
      <w:r w:rsidRPr="0078361C">
        <w:rPr>
          <w:rFonts w:ascii="Tahoma" w:eastAsia="Times New Roman" w:hAnsi="Tahoma" w:cs="Tahoma"/>
          <w:color w:val="3D3B39"/>
          <w:lang w:eastAsia="it-IT"/>
        </w:rPr>
        <w:t xml:space="preserve"> Sud s.r.l.</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6.7. Il motivo deve essere dichiarato inammissibile.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6.8. L’appellante non ha impugnato la sentenza nella parte – v. sempre p. 11 – in cui, seppure in forma alquanto sintetica, ha comunque evidenziato che non era stato assolto dalla ricorrente l’onere di immediata impugnazione del bando laddove avrebbe reso illogico il calcolo di convenienza economica da parte delle concorrenti.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6.9. La censura qui in esame, inizialmente proposta in via subordinata con il quarto motivo del ricorso originario, doveva essere proposta immediatamente contro la previsione della legge di gara in ipotesi </w:t>
      </w:r>
      <w:proofErr w:type="spellStart"/>
      <w:r w:rsidRPr="0078361C">
        <w:rPr>
          <w:rFonts w:ascii="Tahoma" w:eastAsia="Times New Roman" w:hAnsi="Tahoma" w:cs="Tahoma"/>
          <w:color w:val="3D3B39"/>
          <w:lang w:eastAsia="it-IT"/>
        </w:rPr>
        <w:t>violativa</w:t>
      </w:r>
      <w:proofErr w:type="spellEnd"/>
      <w:r w:rsidRPr="0078361C">
        <w:rPr>
          <w:rFonts w:ascii="Tahoma" w:eastAsia="Times New Roman" w:hAnsi="Tahoma" w:cs="Tahoma"/>
          <w:color w:val="3D3B39"/>
          <w:lang w:eastAsia="it-IT"/>
        </w:rPr>
        <w:t xml:space="preserve"> dell’art. 82 del d. </w:t>
      </w:r>
      <w:proofErr w:type="spellStart"/>
      <w:r w:rsidRPr="0078361C">
        <w:rPr>
          <w:rFonts w:ascii="Tahoma" w:eastAsia="Times New Roman" w:hAnsi="Tahoma" w:cs="Tahoma"/>
          <w:color w:val="3D3B39"/>
          <w:lang w:eastAsia="it-IT"/>
        </w:rPr>
        <w:t>lgs</w:t>
      </w:r>
      <w:proofErr w:type="spellEnd"/>
      <w:r w:rsidRPr="0078361C">
        <w:rPr>
          <w:rFonts w:ascii="Tahoma" w:eastAsia="Times New Roman" w:hAnsi="Tahoma" w:cs="Tahoma"/>
          <w:color w:val="3D3B39"/>
          <w:lang w:eastAsia="it-IT"/>
        </w:rPr>
        <w:t>. n. 163 del 2006, nei termini di cui si è detto, per la sua natura immediatamente lesiva dell’interesse della ricorrente a proporre un’offerta ponderata e competitiva sul piano economico.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6.10.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non può legittimamente dolersene, </w:t>
      </w:r>
      <w:proofErr w:type="spellStart"/>
      <w:r w:rsidRPr="0078361C">
        <w:rPr>
          <w:rFonts w:ascii="Tahoma" w:eastAsia="Times New Roman" w:hAnsi="Tahoma" w:cs="Tahoma"/>
          <w:color w:val="3D3B39"/>
          <w:lang w:eastAsia="it-IT"/>
        </w:rPr>
        <w:t>secundum</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eventum</w:t>
      </w:r>
      <w:proofErr w:type="spellEnd"/>
      <w:r w:rsidRPr="0078361C">
        <w:rPr>
          <w:rFonts w:ascii="Tahoma" w:eastAsia="Times New Roman" w:hAnsi="Tahoma" w:cs="Tahoma"/>
          <w:color w:val="3D3B39"/>
          <w:lang w:eastAsia="it-IT"/>
        </w:rPr>
        <w:t>, a gara ormai conclusa ed aggiudicata ad altra concorrente.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6.11. La previsione del disciplinare di gara infatti, proprio per il tenore della censura e indipendentemente dall’esito della gara, appariva immediatamente lesiva per la ricorrente, che proprio in base alla sua stessa prospettazione sarebbe stata costretta dalla legge di gara a formulare una offerta </w:t>
      </w:r>
      <w:proofErr w:type="spellStart"/>
      <w:r w:rsidRPr="0078361C">
        <w:rPr>
          <w:rFonts w:ascii="Tahoma" w:eastAsia="Times New Roman" w:hAnsi="Tahoma" w:cs="Tahoma"/>
          <w:color w:val="3D3B39"/>
          <w:lang w:eastAsia="it-IT"/>
        </w:rPr>
        <w:t>asseritamente</w:t>
      </w:r>
      <w:proofErr w:type="spellEnd"/>
      <w:r w:rsidRPr="0078361C">
        <w:rPr>
          <w:rFonts w:ascii="Tahoma" w:eastAsia="Times New Roman" w:hAnsi="Tahoma" w:cs="Tahoma"/>
          <w:color w:val="3D3B39"/>
          <w:lang w:eastAsia="it-IT"/>
        </w:rPr>
        <w:t xml:space="preserve"> illogica sul piano della convenienza economica oltre che, come deduce l’appellante (p. 20 del ricorso), </w:t>
      </w:r>
      <w:proofErr w:type="spellStart"/>
      <w:r w:rsidRPr="0078361C">
        <w:rPr>
          <w:rFonts w:ascii="Tahoma" w:eastAsia="Times New Roman" w:hAnsi="Tahoma" w:cs="Tahoma"/>
          <w:color w:val="3D3B39"/>
          <w:lang w:eastAsia="it-IT"/>
        </w:rPr>
        <w:t>asseritamente</w:t>
      </w:r>
      <w:proofErr w:type="spellEnd"/>
      <w:r w:rsidRPr="0078361C">
        <w:rPr>
          <w:rFonts w:ascii="Tahoma" w:eastAsia="Times New Roman" w:hAnsi="Tahoma" w:cs="Tahoma"/>
          <w:color w:val="3D3B39"/>
          <w:lang w:eastAsia="it-IT"/>
        </w:rPr>
        <w:t xml:space="preserve"> irragionevole e illogica, per la stessa stazione appaltante, anche rispetto al dichiarato intento di configurare a lotto unico indivisibile.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6.12. Occorre al riguardo rammentare, infatti, che l’onere di impugnare immediatamente le previsioni della legge di gara non concerne solo quelle in senso classico “escludenti”, che prevedono requisiti soggetti di partecipazione (Ad. </w:t>
      </w:r>
      <w:proofErr w:type="spellStart"/>
      <w:r w:rsidRPr="0078361C">
        <w:rPr>
          <w:rFonts w:ascii="Tahoma" w:eastAsia="Times New Roman" w:hAnsi="Tahoma" w:cs="Tahoma"/>
          <w:color w:val="3D3B39"/>
          <w:lang w:eastAsia="it-IT"/>
        </w:rPr>
        <w:t>plen</w:t>
      </w:r>
      <w:proofErr w:type="spellEnd"/>
      <w:r w:rsidRPr="0078361C">
        <w:rPr>
          <w:rFonts w:ascii="Tahoma" w:eastAsia="Times New Roman" w:hAnsi="Tahoma" w:cs="Tahoma"/>
          <w:color w:val="3D3B39"/>
          <w:lang w:eastAsia="it-IT"/>
        </w:rPr>
        <w:t xml:space="preserve">., 29 gennaio 2003, n. 1), ma anche le clausole afferenti alla formulazione dell’offerta, sia sul piano tecnico che economico, laddove esse rendano (realmente) impossibile la presentazione di una offerta (v., ex </w:t>
      </w:r>
      <w:proofErr w:type="spellStart"/>
      <w:r w:rsidRPr="0078361C">
        <w:rPr>
          <w:rFonts w:ascii="Tahoma" w:eastAsia="Times New Roman" w:hAnsi="Tahoma" w:cs="Tahoma"/>
          <w:color w:val="3D3B39"/>
          <w:lang w:eastAsia="it-IT"/>
        </w:rPr>
        <w:t>plurimis</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 sez. IV, 11 ottobre 2016, n. 4180).</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6.13. La più recente giurisprudenza segue ormai fermamente tale linea interpretativa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 sez. III, 2 febbraio 2015, n. 491) e, nel tentativo di enucleare le ipotesi in cui tale evenienza può verificarsi, ha a più riprese puntualizzato che, tra le altre, tali sono: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a) le regole impositive, ai fini della partecipazione, di oneri manifestamente incomprensibili o del tutto sproporzionati per eccesso rispetto ai contenuti della procedura concorsuale (v., in particolare,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 sez. IV, 7novembre 2012, n. 5671);</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b) le previsioni che rendano la partecipazione incongruamente difficoltosa o addirittura impossibile (così, del resto, la già citata pronuncia n. 1 del 29 gennaio 2003 dell’Adunanza plenaria);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lastRenderedPageBreak/>
        <w:br/>
        <w:t xml:space="preserve">c) le disposizioni abnormi o irragionevoli che rendano impossibile il calcolo di convenienza tecnica ed economica ai fini della partecipazione alla gara ovvero prevedano abbreviazioni irragionevoli dei termini per la presentazione dell’offerta (cfr.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 sez. V, 24 febbraio 2003, n. 980);</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d) le condizioni negoziali che rendano il rapporto contrattuale eccessivamente oneroso e obiettivamente non conveniente (cfr.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 sez. V, 21 novembre 2011 n. 6135);</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e) l’imposizione di obblighi contra </w:t>
      </w:r>
      <w:proofErr w:type="spellStart"/>
      <w:r w:rsidRPr="0078361C">
        <w:rPr>
          <w:rFonts w:ascii="Tahoma" w:eastAsia="Times New Roman" w:hAnsi="Tahoma" w:cs="Tahoma"/>
          <w:color w:val="3D3B39"/>
          <w:lang w:eastAsia="it-IT"/>
        </w:rPr>
        <w:t>ius</w:t>
      </w:r>
      <w:proofErr w:type="spellEnd"/>
      <w:r w:rsidRPr="0078361C">
        <w:rPr>
          <w:rFonts w:ascii="Tahoma" w:eastAsia="Times New Roman" w:hAnsi="Tahoma" w:cs="Tahoma"/>
          <w:color w:val="3D3B39"/>
          <w:lang w:eastAsia="it-IT"/>
        </w:rPr>
        <w:t xml:space="preserve"> (come, ad esempio, la cauzione definitiva pari all’intero importo dell’appalto: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 sez. II, 19 febbraio 2003, n. 2222);</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f) le gravi carenze nell’indicazione di dati essenziali per la formulazione dell’offerta (quelli relativi, </w:t>
      </w:r>
      <w:proofErr w:type="spellStart"/>
      <w:r w:rsidRPr="0078361C">
        <w:rPr>
          <w:rFonts w:ascii="Tahoma" w:eastAsia="Times New Roman" w:hAnsi="Tahoma" w:cs="Tahoma"/>
          <w:color w:val="3D3B39"/>
          <w:lang w:eastAsia="it-IT"/>
        </w:rPr>
        <w:t>exempli</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gratia</w:t>
      </w:r>
      <w:proofErr w:type="spellEnd"/>
      <w:r w:rsidRPr="0078361C">
        <w:rPr>
          <w:rFonts w:ascii="Tahoma" w:eastAsia="Times New Roman" w:hAnsi="Tahoma" w:cs="Tahoma"/>
          <w:color w:val="3D3B39"/>
          <w:lang w:eastAsia="it-IT"/>
        </w:rPr>
        <w:t>, al numero, alle qualifiche, alle mansioni, ai livelli retributivi e all’anzianità del personale destinato ad essere assorbiti dall’aggiudicatario) ovvero la presenza di formule matematiche del tutto errate (come quelle per cui tutte le offerte conseguono comunque il punteggio di “0” punti);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g) gli atti di gara del tutto mancanti della prescritta indicazione nel bando di gara dei costi della sicurezza “non soggetti a ribasso” (cfr.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 sez. III, 3 ottobre 2011 n. 5421).</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6.14. Le rimanenti tipologie di clausole </w:t>
      </w:r>
      <w:proofErr w:type="spellStart"/>
      <w:r w:rsidRPr="0078361C">
        <w:rPr>
          <w:rFonts w:ascii="Tahoma" w:eastAsia="Times New Roman" w:hAnsi="Tahoma" w:cs="Tahoma"/>
          <w:color w:val="3D3B39"/>
          <w:lang w:eastAsia="it-IT"/>
        </w:rPr>
        <w:t>asseritamente</w:t>
      </w:r>
      <w:proofErr w:type="spellEnd"/>
      <w:r w:rsidRPr="0078361C">
        <w:rPr>
          <w:rFonts w:ascii="Tahoma" w:eastAsia="Times New Roman" w:hAnsi="Tahoma" w:cs="Tahoma"/>
          <w:color w:val="3D3B39"/>
          <w:lang w:eastAsia="it-IT"/>
        </w:rPr>
        <w:t xml:space="preserve"> ritenute lesive devono essere impugnate insieme con l’atto di approvazione della graduatoria definitiva, che definisce la procedura concorsuale ed identifica in concreto il soggetto leso dal provvedimento, rendendo attuale e concreta la lesione della situazione soggettiva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Stato, sez. V, 27 ottobre 2014, n. 5282) e postulano la preventiva partecipazione alla gara.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6.15. Non occorre aggiungere altro per comprendere che l’odierna appellante avrebbe dovuto impugnare immediatamente, come il primo giudice ha rilevato in limine </w:t>
      </w:r>
      <w:proofErr w:type="spellStart"/>
      <w:r w:rsidRPr="0078361C">
        <w:rPr>
          <w:rFonts w:ascii="Tahoma" w:eastAsia="Times New Roman" w:hAnsi="Tahoma" w:cs="Tahoma"/>
          <w:color w:val="3D3B39"/>
          <w:lang w:eastAsia="it-IT"/>
        </w:rPr>
        <w:t>litis</w:t>
      </w:r>
      <w:proofErr w:type="spellEnd"/>
      <w:r w:rsidRPr="0078361C">
        <w:rPr>
          <w:rFonts w:ascii="Tahoma" w:eastAsia="Times New Roman" w:hAnsi="Tahoma" w:cs="Tahoma"/>
          <w:color w:val="3D3B39"/>
          <w:lang w:eastAsia="it-IT"/>
        </w:rPr>
        <w:t>, la previsione qui contestata che rendeva, a suo dire, ragionevolmente impossibile la formulazione di un’offerta economica seria, ponderata, logica e coerente con il principio del prezzo complessivamente più basso.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6.16. Il non avere l’appellante stessa contestato specificamente il pur sintetico rilievo del T.A.R. rende il motivo qui disaminato inammissibile per difetto di interesse, restando precluso al Collegio l’esame di esso nel merito.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7. In conclusione, per i motivi esposti, l’appello deve in parte dichiarato inammissibile e in parte deve essere respinto, secondo le ragioni sopra esposte, con piena conferma della sentenza impugnata.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8. La complessità tecnica della controversia giustifica comunque l’integrale compensazione, tra le parti, delle spese inerenti al presente grado di giudizio.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8.1. Rimane definitivamente a carico dell’odierna appellante il contributo unificato richiesto per la proposizione del gravame.</w:t>
      </w:r>
    </w:p>
    <w:p w:rsidR="0078361C" w:rsidRPr="0078361C" w:rsidRDefault="0078361C" w:rsidP="0078361C">
      <w:pPr>
        <w:spacing w:after="265" w:line="240" w:lineRule="auto"/>
        <w:jc w:val="center"/>
        <w:rPr>
          <w:rFonts w:ascii="Tahoma" w:eastAsia="Times New Roman" w:hAnsi="Tahoma" w:cs="Tahoma"/>
          <w:color w:val="3D3B39"/>
          <w:lang w:eastAsia="it-IT"/>
        </w:rPr>
      </w:pPr>
      <w:r w:rsidRPr="00694329">
        <w:rPr>
          <w:rFonts w:ascii="Tahoma" w:eastAsia="Times New Roman" w:hAnsi="Tahoma" w:cs="Tahoma"/>
          <w:b/>
          <w:bCs/>
          <w:color w:val="3D3B39"/>
          <w:lang w:eastAsia="it-IT"/>
        </w:rPr>
        <w:t>P.Q.M.</w:t>
      </w:r>
    </w:p>
    <w:p w:rsidR="0078361C" w:rsidRPr="0078361C" w:rsidRDefault="0078361C" w:rsidP="0078361C">
      <w:pPr>
        <w:spacing w:after="265" w:line="240" w:lineRule="auto"/>
        <w:rPr>
          <w:rFonts w:ascii="Tahoma" w:eastAsia="Times New Roman" w:hAnsi="Tahoma" w:cs="Tahoma"/>
          <w:color w:val="3D3B39"/>
          <w:lang w:eastAsia="it-IT"/>
        </w:rPr>
      </w:pPr>
      <w:r w:rsidRPr="0078361C">
        <w:rPr>
          <w:rFonts w:ascii="Tahoma" w:eastAsia="Times New Roman" w:hAnsi="Tahoma" w:cs="Tahoma"/>
          <w:color w:val="3D3B39"/>
          <w:lang w:eastAsia="it-IT"/>
        </w:rPr>
        <w:t xml:space="preserve">Il Consiglio di Stato in sede giurisdizionale (Sezione Terza), definitivamente pronunciando sull’appello, come in epigrafe proposto da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lo dichiara in parte inammissibile e in parte lo respinge, ai sensi di cui in motivazione, e per l’effetto conferma la sentenza impugnata.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Compensa interamente tra le parti le spese del presente grado di giudizio.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lastRenderedPageBreak/>
        <w:br/>
        <w:t xml:space="preserve">Pone definitivamente a carico di </w:t>
      </w:r>
      <w:proofErr w:type="spellStart"/>
      <w:r w:rsidRPr="0078361C">
        <w:rPr>
          <w:rFonts w:ascii="Tahoma" w:eastAsia="Times New Roman" w:hAnsi="Tahoma" w:cs="Tahoma"/>
          <w:color w:val="3D3B39"/>
          <w:lang w:eastAsia="it-IT"/>
        </w:rPr>
        <w:t>Hospira</w:t>
      </w:r>
      <w:proofErr w:type="spellEnd"/>
      <w:r w:rsidRPr="0078361C">
        <w:rPr>
          <w:rFonts w:ascii="Tahoma" w:eastAsia="Times New Roman" w:hAnsi="Tahoma" w:cs="Tahoma"/>
          <w:color w:val="3D3B39"/>
          <w:lang w:eastAsia="it-IT"/>
        </w:rPr>
        <w:t xml:space="preserve"> Italia s.r.l. il contributo unificato richiesto per la proposizione dell’appello.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Ordina che la presente sentenza sia eseguita dall’autorità amministrativa.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Così deciso in Roma, nella camera di consiglio del giorno 23 marzo 2017, con l’intervento dei magistrati:</w:t>
      </w:r>
    </w:p>
    <w:p w:rsidR="0078361C" w:rsidRPr="0078361C" w:rsidRDefault="0078361C" w:rsidP="0078361C">
      <w:pPr>
        <w:spacing w:after="265" w:line="240" w:lineRule="auto"/>
        <w:rPr>
          <w:rFonts w:ascii="Tahoma" w:eastAsia="Times New Roman" w:hAnsi="Tahoma" w:cs="Tahoma"/>
          <w:color w:val="3D3B39"/>
          <w:lang w:eastAsia="it-IT"/>
        </w:rPr>
      </w:pPr>
      <w:r w:rsidRPr="0078361C">
        <w:rPr>
          <w:rFonts w:ascii="Tahoma" w:eastAsia="Times New Roman" w:hAnsi="Tahoma" w:cs="Tahoma"/>
          <w:color w:val="3D3B39"/>
          <w:lang w:eastAsia="it-IT"/>
        </w:rPr>
        <w:t>Franco Frattini, Presidente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Lydia Ada Orsola </w:t>
      </w:r>
      <w:proofErr w:type="spellStart"/>
      <w:r w:rsidRPr="0078361C">
        <w:rPr>
          <w:rFonts w:ascii="Tahoma" w:eastAsia="Times New Roman" w:hAnsi="Tahoma" w:cs="Tahoma"/>
          <w:color w:val="3D3B39"/>
          <w:lang w:eastAsia="it-IT"/>
        </w:rPr>
        <w:t>Spiezia</w:t>
      </w:r>
      <w:proofErr w:type="spellEnd"/>
      <w:r w:rsidRPr="0078361C">
        <w:rPr>
          <w:rFonts w:ascii="Tahoma" w:eastAsia="Times New Roman" w:hAnsi="Tahoma" w:cs="Tahoma"/>
          <w:color w:val="3D3B39"/>
          <w:lang w:eastAsia="it-IT"/>
        </w:rPr>
        <w:t>, Consigliere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Massimiliano </w:t>
      </w:r>
      <w:proofErr w:type="spellStart"/>
      <w:r w:rsidRPr="0078361C">
        <w:rPr>
          <w:rFonts w:ascii="Tahoma" w:eastAsia="Times New Roman" w:hAnsi="Tahoma" w:cs="Tahoma"/>
          <w:color w:val="3D3B39"/>
          <w:lang w:eastAsia="it-IT"/>
        </w:rPr>
        <w:t>Noccelli</w:t>
      </w:r>
      <w:proofErr w:type="spellEnd"/>
      <w:r w:rsidRPr="0078361C">
        <w:rPr>
          <w:rFonts w:ascii="Tahoma" w:eastAsia="Times New Roman" w:hAnsi="Tahoma" w:cs="Tahoma"/>
          <w:color w:val="3D3B39"/>
          <w:lang w:eastAsia="it-IT"/>
        </w:rPr>
        <w:t>, Consigliere, Estensore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Pierfrancesco Ungari, Consigliere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Stefania </w:t>
      </w:r>
      <w:proofErr w:type="spellStart"/>
      <w:r w:rsidRPr="0078361C">
        <w:rPr>
          <w:rFonts w:ascii="Tahoma" w:eastAsia="Times New Roman" w:hAnsi="Tahoma" w:cs="Tahoma"/>
          <w:color w:val="3D3B39"/>
          <w:lang w:eastAsia="it-IT"/>
        </w:rPr>
        <w:t>Santoleri</w:t>
      </w:r>
      <w:proofErr w:type="spellEnd"/>
      <w:r w:rsidRPr="0078361C">
        <w:rPr>
          <w:rFonts w:ascii="Tahoma" w:eastAsia="Times New Roman" w:hAnsi="Tahoma" w:cs="Tahoma"/>
          <w:color w:val="3D3B39"/>
          <w:lang w:eastAsia="it-IT"/>
        </w:rPr>
        <w:t>, Consigliere</w:t>
      </w:r>
    </w:p>
    <w:p w:rsidR="0078361C" w:rsidRPr="00694329" w:rsidRDefault="0078361C" w:rsidP="0078361C">
      <w:pPr>
        <w:rPr>
          <w:rFonts w:ascii="Tahoma" w:hAnsi="Tahoma" w:cs="Tahoma"/>
        </w:rPr>
      </w:pPr>
    </w:p>
    <w:p w:rsidR="0078361C" w:rsidRPr="00694329" w:rsidRDefault="0078361C" w:rsidP="0078361C">
      <w:pPr>
        <w:rPr>
          <w:rFonts w:ascii="Tahoma" w:hAnsi="Tahoma" w:cs="Tahoma"/>
        </w:rPr>
      </w:pPr>
    </w:p>
    <w:p w:rsidR="0078361C" w:rsidRPr="00694329" w:rsidRDefault="0078361C" w:rsidP="0078361C">
      <w:pPr>
        <w:rPr>
          <w:rFonts w:ascii="Tahoma" w:hAnsi="Tahoma" w:cs="Tahoma"/>
        </w:rPr>
      </w:pPr>
    </w:p>
    <w:p w:rsidR="0078361C" w:rsidRPr="00694329" w:rsidRDefault="0078361C" w:rsidP="0078361C">
      <w:pPr>
        <w:rPr>
          <w:rFonts w:ascii="Tahoma" w:hAnsi="Tahoma" w:cs="Tahoma"/>
        </w:rPr>
      </w:pPr>
    </w:p>
    <w:p w:rsidR="0078361C" w:rsidRPr="00694329" w:rsidRDefault="0078361C" w:rsidP="0078361C">
      <w:pPr>
        <w:rPr>
          <w:rFonts w:ascii="Tahoma" w:hAnsi="Tahoma" w:cs="Tahoma"/>
        </w:rPr>
      </w:pPr>
    </w:p>
    <w:p w:rsidR="0078361C" w:rsidRDefault="0078361C" w:rsidP="0078361C"/>
    <w:p w:rsidR="0078361C" w:rsidRDefault="0078361C" w:rsidP="0078361C"/>
    <w:p w:rsidR="0078361C" w:rsidRDefault="0078361C" w:rsidP="0078361C"/>
    <w:p w:rsidR="0078361C" w:rsidRDefault="0078361C" w:rsidP="0078361C"/>
    <w:p w:rsidR="0078361C" w:rsidRDefault="0078361C" w:rsidP="0078361C"/>
    <w:p w:rsidR="0078361C" w:rsidRDefault="0078361C" w:rsidP="0078361C"/>
    <w:p w:rsidR="0078361C" w:rsidRDefault="0078361C" w:rsidP="0078361C"/>
    <w:p w:rsidR="0078361C" w:rsidRDefault="0078361C" w:rsidP="0078361C"/>
    <w:p w:rsidR="0078361C" w:rsidRDefault="0078361C" w:rsidP="0078361C"/>
    <w:p w:rsidR="0078361C" w:rsidRDefault="0078361C" w:rsidP="0078361C"/>
    <w:p w:rsidR="0078361C" w:rsidRDefault="0078361C" w:rsidP="0078361C"/>
    <w:p w:rsidR="0078361C" w:rsidRDefault="0078361C" w:rsidP="0078361C"/>
    <w:p w:rsidR="0078361C" w:rsidRDefault="0078361C" w:rsidP="0078361C"/>
    <w:p w:rsidR="0078361C" w:rsidRDefault="0078361C" w:rsidP="0078361C"/>
    <w:p w:rsidR="0078361C" w:rsidRDefault="0078361C" w:rsidP="0078361C"/>
    <w:p w:rsidR="0078361C" w:rsidRDefault="0078361C" w:rsidP="0078361C"/>
    <w:p w:rsidR="0078361C" w:rsidRDefault="0078361C" w:rsidP="0078361C"/>
    <w:p w:rsidR="0078361C" w:rsidRDefault="0078361C" w:rsidP="0078361C"/>
    <w:p w:rsidR="0078361C" w:rsidRPr="00694329" w:rsidRDefault="0078361C" w:rsidP="0078361C">
      <w:pPr>
        <w:rPr>
          <w:rFonts w:ascii="Tahoma" w:hAnsi="Tahoma" w:cs="Tahoma"/>
        </w:rPr>
      </w:pPr>
      <w:r w:rsidRPr="00694329">
        <w:rPr>
          <w:rFonts w:ascii="Tahoma" w:hAnsi="Tahoma" w:cs="Tahoma"/>
        </w:rPr>
        <w:t>N. 01692/2017REG.PROV.COLL.</w:t>
      </w:r>
      <w:r w:rsidRPr="00694329">
        <w:rPr>
          <w:rFonts w:ascii="Tahoma" w:hAnsi="Tahoma" w:cs="Tahoma"/>
        </w:rPr>
        <w:br/>
        <w:t>N. 07310/2016 REG.RIC.</w:t>
      </w:r>
    </w:p>
    <w:p w:rsidR="0078361C" w:rsidRPr="00694329" w:rsidRDefault="0078361C" w:rsidP="0078361C">
      <w:pPr>
        <w:rPr>
          <w:rFonts w:ascii="Tahoma" w:hAnsi="Tahoma" w:cs="Tahoma"/>
        </w:rPr>
      </w:pPr>
      <w:r w:rsidRPr="00694329">
        <w:rPr>
          <w:rFonts w:ascii="Tahoma" w:hAnsi="Tahoma" w:cs="Tahoma"/>
        </w:rPr>
        <w:t>REPUBBLICA ITALIANA</w:t>
      </w:r>
      <w:r w:rsidRPr="00694329">
        <w:rPr>
          <w:rFonts w:ascii="Tahoma" w:hAnsi="Tahoma" w:cs="Tahoma"/>
        </w:rPr>
        <w:br/>
        <w:t>IN NOME DEL POPOLO ITALIANO</w:t>
      </w:r>
      <w:r w:rsidRPr="00694329">
        <w:rPr>
          <w:rFonts w:ascii="Tahoma" w:hAnsi="Tahoma" w:cs="Tahoma"/>
        </w:rPr>
        <w:br/>
        <w:t>Il Consiglio di Stato</w:t>
      </w:r>
      <w:r w:rsidRPr="00694329">
        <w:rPr>
          <w:rFonts w:ascii="Tahoma" w:hAnsi="Tahoma" w:cs="Tahoma"/>
        </w:rPr>
        <w:br/>
        <w:t>in sede giurisdizionale (Sezione Sesta)</w:t>
      </w:r>
    </w:p>
    <w:p w:rsidR="0078361C" w:rsidRPr="00694329" w:rsidRDefault="0078361C" w:rsidP="0078361C">
      <w:pPr>
        <w:rPr>
          <w:rFonts w:ascii="Tahoma" w:hAnsi="Tahoma" w:cs="Tahoma"/>
        </w:rPr>
      </w:pPr>
      <w:r w:rsidRPr="00694329">
        <w:rPr>
          <w:rFonts w:ascii="Tahoma" w:hAnsi="Tahoma" w:cs="Tahoma"/>
        </w:rPr>
        <w:t>ha pronunciato la presente</w:t>
      </w:r>
    </w:p>
    <w:p w:rsidR="0078361C" w:rsidRPr="00694329" w:rsidRDefault="0078361C" w:rsidP="0078361C">
      <w:pPr>
        <w:rPr>
          <w:rFonts w:ascii="Tahoma" w:hAnsi="Tahoma" w:cs="Tahoma"/>
        </w:rPr>
      </w:pPr>
      <w:r w:rsidRPr="00694329">
        <w:rPr>
          <w:rFonts w:ascii="Tahoma" w:hAnsi="Tahoma" w:cs="Tahoma"/>
        </w:rPr>
        <w:t>SENTENZA</w:t>
      </w:r>
    </w:p>
    <w:p w:rsidR="0078361C" w:rsidRPr="00694329" w:rsidRDefault="0078361C" w:rsidP="0078361C">
      <w:pPr>
        <w:rPr>
          <w:rFonts w:ascii="Tahoma" w:hAnsi="Tahoma" w:cs="Tahoma"/>
        </w:rPr>
      </w:pPr>
      <w:r w:rsidRPr="00694329">
        <w:rPr>
          <w:rFonts w:ascii="Tahoma" w:hAnsi="Tahoma" w:cs="Tahoma"/>
        </w:rPr>
        <w:t>sul ricorso numero di registro generale 7310 del 2016, proposto dalla Commissione nazionale per le società e la borsa-</w:t>
      </w:r>
      <w:proofErr w:type="spellStart"/>
      <w:r w:rsidRPr="00694329">
        <w:rPr>
          <w:rFonts w:ascii="Tahoma" w:hAnsi="Tahoma" w:cs="Tahoma"/>
        </w:rPr>
        <w:t>Consob</w:t>
      </w:r>
      <w:proofErr w:type="spellEnd"/>
      <w:r w:rsidRPr="00694329">
        <w:rPr>
          <w:rFonts w:ascii="Tahoma" w:hAnsi="Tahoma" w:cs="Tahoma"/>
        </w:rPr>
        <w:t xml:space="preserve">, in persona del legale rappresentante </w:t>
      </w:r>
      <w:proofErr w:type="spellStart"/>
      <w:r w:rsidRPr="00694329">
        <w:rPr>
          <w:rFonts w:ascii="Tahoma" w:hAnsi="Tahoma" w:cs="Tahoma"/>
        </w:rPr>
        <w:t>p.t.</w:t>
      </w:r>
      <w:proofErr w:type="spellEnd"/>
      <w:r w:rsidRPr="00694329">
        <w:rPr>
          <w:rFonts w:ascii="Tahoma" w:hAnsi="Tahoma" w:cs="Tahoma"/>
        </w:rPr>
        <w:t xml:space="preserve">, rappresentata e difesa dagli avvocati Salvatore </w:t>
      </w:r>
      <w:proofErr w:type="spellStart"/>
      <w:r w:rsidRPr="00694329">
        <w:rPr>
          <w:rFonts w:ascii="Tahoma" w:hAnsi="Tahoma" w:cs="Tahoma"/>
        </w:rPr>
        <w:t>Providenti</w:t>
      </w:r>
      <w:proofErr w:type="spellEnd"/>
      <w:r w:rsidRPr="00694329">
        <w:rPr>
          <w:rFonts w:ascii="Tahoma" w:hAnsi="Tahoma" w:cs="Tahoma"/>
        </w:rPr>
        <w:t xml:space="preserve"> C.F. PRVSVT63R24F158N, Gianfranco </w:t>
      </w:r>
      <w:proofErr w:type="spellStart"/>
      <w:r w:rsidRPr="00694329">
        <w:rPr>
          <w:rFonts w:ascii="Tahoma" w:hAnsi="Tahoma" w:cs="Tahoma"/>
        </w:rPr>
        <w:t>Randisi</w:t>
      </w:r>
      <w:proofErr w:type="spellEnd"/>
      <w:r w:rsidRPr="00694329">
        <w:rPr>
          <w:rFonts w:ascii="Tahoma" w:hAnsi="Tahoma" w:cs="Tahoma"/>
        </w:rPr>
        <w:t xml:space="preserve"> C.F. RNDGFR65L23F158W, Stefania </w:t>
      </w:r>
      <w:proofErr w:type="spellStart"/>
      <w:r w:rsidRPr="00694329">
        <w:rPr>
          <w:rFonts w:ascii="Tahoma" w:hAnsi="Tahoma" w:cs="Tahoma"/>
        </w:rPr>
        <w:t>Lopatriello</w:t>
      </w:r>
      <w:proofErr w:type="spellEnd"/>
      <w:r w:rsidRPr="00694329">
        <w:rPr>
          <w:rFonts w:ascii="Tahoma" w:hAnsi="Tahoma" w:cs="Tahoma"/>
        </w:rPr>
        <w:t xml:space="preserve"> C.F. LPTSFN72R47G712Y, con domicilio eletto presso la </w:t>
      </w:r>
      <w:proofErr w:type="spellStart"/>
      <w:r w:rsidRPr="00694329">
        <w:rPr>
          <w:rFonts w:ascii="Tahoma" w:hAnsi="Tahoma" w:cs="Tahoma"/>
        </w:rPr>
        <w:t>Consob</w:t>
      </w:r>
      <w:proofErr w:type="spellEnd"/>
      <w:r w:rsidRPr="00694329">
        <w:rPr>
          <w:rFonts w:ascii="Tahoma" w:hAnsi="Tahoma" w:cs="Tahoma"/>
        </w:rPr>
        <w:t xml:space="preserve"> in Roma, Via G.B. Martini, n. 3; </w:t>
      </w:r>
      <w:r w:rsidRPr="00694329">
        <w:rPr>
          <w:rFonts w:ascii="Tahoma" w:hAnsi="Tahoma" w:cs="Tahoma"/>
        </w:rPr>
        <w:br/>
        <w:t>contro</w:t>
      </w:r>
      <w:r w:rsidRPr="00694329">
        <w:rPr>
          <w:rFonts w:ascii="Tahoma" w:hAnsi="Tahoma" w:cs="Tahoma"/>
        </w:rPr>
        <w:br/>
      </w:r>
      <w:proofErr w:type="spellStart"/>
      <w:r w:rsidRPr="00694329">
        <w:rPr>
          <w:rFonts w:ascii="Tahoma" w:hAnsi="Tahoma" w:cs="Tahoma"/>
        </w:rPr>
        <w:t>Bluebell</w:t>
      </w:r>
      <w:proofErr w:type="spellEnd"/>
      <w:r w:rsidRPr="00694329">
        <w:rPr>
          <w:rFonts w:ascii="Tahoma" w:hAnsi="Tahoma" w:cs="Tahoma"/>
        </w:rPr>
        <w:t xml:space="preserve"> </w:t>
      </w:r>
      <w:proofErr w:type="spellStart"/>
      <w:r w:rsidRPr="00694329">
        <w:rPr>
          <w:rFonts w:ascii="Tahoma" w:hAnsi="Tahoma" w:cs="Tahoma"/>
        </w:rPr>
        <w:t>Partners</w:t>
      </w:r>
      <w:proofErr w:type="spellEnd"/>
      <w:r w:rsidRPr="00694329">
        <w:rPr>
          <w:rFonts w:ascii="Tahoma" w:hAnsi="Tahoma" w:cs="Tahoma"/>
        </w:rPr>
        <w:t xml:space="preserve"> Limited, in persona del legale rappresentante </w:t>
      </w:r>
      <w:proofErr w:type="spellStart"/>
      <w:r w:rsidRPr="00694329">
        <w:rPr>
          <w:rFonts w:ascii="Tahoma" w:hAnsi="Tahoma" w:cs="Tahoma"/>
        </w:rPr>
        <w:t>p.t.</w:t>
      </w:r>
      <w:proofErr w:type="spellEnd"/>
      <w:r w:rsidRPr="00694329">
        <w:rPr>
          <w:rFonts w:ascii="Tahoma" w:hAnsi="Tahoma" w:cs="Tahoma"/>
        </w:rPr>
        <w:t>, rappresentata e difesa dall'avvocato Domenico Ielo C.F. LIEDNC69P07F158P, con domicilio eletto presso lo studio Erede, Pappalardo, Bonelli in Roma, Via Salaria, n. 259; </w:t>
      </w:r>
      <w:r w:rsidRPr="00694329">
        <w:rPr>
          <w:rFonts w:ascii="Tahoma" w:hAnsi="Tahoma" w:cs="Tahoma"/>
        </w:rPr>
        <w:br/>
        <w:t>nei confronti di</w:t>
      </w:r>
      <w:r w:rsidRPr="00694329">
        <w:rPr>
          <w:rFonts w:ascii="Tahoma" w:hAnsi="Tahoma" w:cs="Tahoma"/>
        </w:rPr>
        <w:br/>
        <w:t xml:space="preserve">Finmeccanica </w:t>
      </w:r>
      <w:proofErr w:type="spellStart"/>
      <w:r w:rsidRPr="00694329">
        <w:rPr>
          <w:rFonts w:ascii="Tahoma" w:hAnsi="Tahoma" w:cs="Tahoma"/>
        </w:rPr>
        <w:t>s.p.a.</w:t>
      </w:r>
      <w:proofErr w:type="spellEnd"/>
      <w:r w:rsidRPr="00694329">
        <w:rPr>
          <w:rFonts w:ascii="Tahoma" w:hAnsi="Tahoma" w:cs="Tahoma"/>
        </w:rPr>
        <w:t xml:space="preserve">, in persona del legale rappresentante </w:t>
      </w:r>
      <w:proofErr w:type="spellStart"/>
      <w:r w:rsidRPr="00694329">
        <w:rPr>
          <w:rFonts w:ascii="Tahoma" w:hAnsi="Tahoma" w:cs="Tahoma"/>
        </w:rPr>
        <w:t>p.t.</w:t>
      </w:r>
      <w:proofErr w:type="spellEnd"/>
      <w:r w:rsidRPr="00694329">
        <w:rPr>
          <w:rFonts w:ascii="Tahoma" w:hAnsi="Tahoma" w:cs="Tahoma"/>
        </w:rPr>
        <w:t>, rappresentata e difesa dall'avvocato Carlo Malinconico C.F. MLNCRL50E31H501L, con domicilio eletto presso il suo studio in Roma, corso Vittorio Emanuele II, n. 284; </w:t>
      </w:r>
      <w:r w:rsidRPr="00694329">
        <w:rPr>
          <w:rFonts w:ascii="Tahoma" w:hAnsi="Tahoma" w:cs="Tahoma"/>
        </w:rPr>
        <w:br/>
        <w:t xml:space="preserve">Hitachi </w:t>
      </w:r>
      <w:proofErr w:type="spellStart"/>
      <w:r w:rsidRPr="00694329">
        <w:rPr>
          <w:rFonts w:ascii="Tahoma" w:hAnsi="Tahoma" w:cs="Tahoma"/>
        </w:rPr>
        <w:t>Rail</w:t>
      </w:r>
      <w:proofErr w:type="spellEnd"/>
      <w:r w:rsidRPr="00694329">
        <w:rPr>
          <w:rFonts w:ascii="Tahoma" w:hAnsi="Tahoma" w:cs="Tahoma"/>
        </w:rPr>
        <w:t xml:space="preserve"> </w:t>
      </w:r>
      <w:proofErr w:type="spellStart"/>
      <w:r w:rsidRPr="00694329">
        <w:rPr>
          <w:rFonts w:ascii="Tahoma" w:hAnsi="Tahoma" w:cs="Tahoma"/>
        </w:rPr>
        <w:t>Italy</w:t>
      </w:r>
      <w:proofErr w:type="spellEnd"/>
      <w:r w:rsidRPr="00694329">
        <w:rPr>
          <w:rFonts w:ascii="Tahoma" w:hAnsi="Tahoma" w:cs="Tahoma"/>
        </w:rPr>
        <w:t xml:space="preserve"> Investments s.r.l., in persona del legale rappresentante </w:t>
      </w:r>
      <w:proofErr w:type="spellStart"/>
      <w:r w:rsidRPr="00694329">
        <w:rPr>
          <w:rFonts w:ascii="Tahoma" w:hAnsi="Tahoma" w:cs="Tahoma"/>
        </w:rPr>
        <w:t>p.t.</w:t>
      </w:r>
      <w:proofErr w:type="spellEnd"/>
      <w:r w:rsidRPr="00694329">
        <w:rPr>
          <w:rFonts w:ascii="Tahoma" w:hAnsi="Tahoma" w:cs="Tahoma"/>
        </w:rPr>
        <w:t xml:space="preserve">, rappresentata e difesa dagli avvocati Antonio </w:t>
      </w:r>
      <w:proofErr w:type="spellStart"/>
      <w:r w:rsidRPr="00694329">
        <w:rPr>
          <w:rFonts w:ascii="Tahoma" w:hAnsi="Tahoma" w:cs="Tahoma"/>
        </w:rPr>
        <w:t>Lirosi</w:t>
      </w:r>
      <w:proofErr w:type="spellEnd"/>
      <w:r w:rsidRPr="00694329">
        <w:rPr>
          <w:rFonts w:ascii="Tahoma" w:hAnsi="Tahoma" w:cs="Tahoma"/>
        </w:rPr>
        <w:t xml:space="preserve"> C.F. LRSNTN61E04G288P, Raimondo </w:t>
      </w:r>
      <w:proofErr w:type="spellStart"/>
      <w:r w:rsidRPr="00694329">
        <w:rPr>
          <w:rFonts w:ascii="Tahoma" w:hAnsi="Tahoma" w:cs="Tahoma"/>
        </w:rPr>
        <w:t>Premonte</w:t>
      </w:r>
      <w:proofErr w:type="spellEnd"/>
      <w:r w:rsidRPr="00694329">
        <w:rPr>
          <w:rFonts w:ascii="Tahoma" w:hAnsi="Tahoma" w:cs="Tahoma"/>
        </w:rPr>
        <w:t xml:space="preserve"> C.F. PRMRND68M14H501T, Marco Martinelli C.F. MRTMRC75L23H501W, Ilaria Giulia </w:t>
      </w:r>
      <w:proofErr w:type="spellStart"/>
      <w:r w:rsidRPr="00694329">
        <w:rPr>
          <w:rFonts w:ascii="Tahoma" w:hAnsi="Tahoma" w:cs="Tahoma"/>
        </w:rPr>
        <w:t>Monorchio</w:t>
      </w:r>
      <w:proofErr w:type="spellEnd"/>
      <w:r w:rsidRPr="00694329">
        <w:rPr>
          <w:rFonts w:ascii="Tahoma" w:hAnsi="Tahoma" w:cs="Tahoma"/>
        </w:rPr>
        <w:t xml:space="preserve"> C.F. MNRLGL74E56H224T, con domicilio eletto presso Cappelli &amp; </w:t>
      </w:r>
      <w:proofErr w:type="spellStart"/>
      <w:r w:rsidRPr="00694329">
        <w:rPr>
          <w:rFonts w:ascii="Tahoma" w:hAnsi="Tahoma" w:cs="Tahoma"/>
        </w:rPr>
        <w:t>Partners</w:t>
      </w:r>
      <w:proofErr w:type="spellEnd"/>
      <w:r w:rsidRPr="00694329">
        <w:rPr>
          <w:rFonts w:ascii="Tahoma" w:hAnsi="Tahoma" w:cs="Tahoma"/>
        </w:rPr>
        <w:t xml:space="preserve"> Studio Gianni, </w:t>
      </w:r>
      <w:proofErr w:type="spellStart"/>
      <w:r w:rsidRPr="00694329">
        <w:rPr>
          <w:rFonts w:ascii="Tahoma" w:hAnsi="Tahoma" w:cs="Tahoma"/>
        </w:rPr>
        <w:t>Origoni</w:t>
      </w:r>
      <w:proofErr w:type="spellEnd"/>
      <w:r w:rsidRPr="00694329">
        <w:rPr>
          <w:rFonts w:ascii="Tahoma" w:hAnsi="Tahoma" w:cs="Tahoma"/>
        </w:rPr>
        <w:t>, Grippo in Roma, Via delle Quattro Fontane, n. 20; </w:t>
      </w:r>
      <w:r w:rsidRPr="00694329">
        <w:rPr>
          <w:rFonts w:ascii="Tahoma" w:hAnsi="Tahoma" w:cs="Tahoma"/>
        </w:rPr>
        <w:br/>
        <w:t>per la riforma</w:t>
      </w:r>
      <w:r w:rsidRPr="00694329">
        <w:rPr>
          <w:rFonts w:ascii="Tahoma" w:hAnsi="Tahoma" w:cs="Tahoma"/>
        </w:rPr>
        <w:br/>
        <w:t>della sentenza del T.A.R. LAZIO - ROMA: SEZIONE II QUA n. 06954/2016, resa tra le parti, concernente diniego di accesso documenti amministrativi relativi a procedura di determinazione prezzo di offerta pubblica di acquisto;</w:t>
      </w:r>
      <w:r w:rsidRPr="00694329">
        <w:rPr>
          <w:rFonts w:ascii="Tahoma" w:hAnsi="Tahoma" w:cs="Tahoma"/>
        </w:rPr>
        <w:br/>
      </w:r>
      <w:r w:rsidRPr="00694329">
        <w:rPr>
          <w:rFonts w:ascii="Tahoma" w:hAnsi="Tahoma" w:cs="Tahoma"/>
        </w:rPr>
        <w:br/>
      </w:r>
      <w:r w:rsidRPr="00694329">
        <w:rPr>
          <w:rFonts w:ascii="Tahoma" w:hAnsi="Tahoma" w:cs="Tahoma"/>
        </w:rPr>
        <w:br/>
        <w:t>Visti il ricorso in appello e i relativi allegati;</w:t>
      </w:r>
      <w:r w:rsidRPr="00694329">
        <w:rPr>
          <w:rFonts w:ascii="Tahoma" w:hAnsi="Tahoma" w:cs="Tahoma"/>
        </w:rPr>
        <w:br/>
        <w:t xml:space="preserve">Visti gli atti di costituzione in giudizio delle </w:t>
      </w:r>
      <w:proofErr w:type="spellStart"/>
      <w:r w:rsidRPr="00694329">
        <w:rPr>
          <w:rFonts w:ascii="Tahoma" w:hAnsi="Tahoma" w:cs="Tahoma"/>
        </w:rPr>
        <w:t>Bluebell</w:t>
      </w:r>
      <w:proofErr w:type="spellEnd"/>
      <w:r w:rsidRPr="00694329">
        <w:rPr>
          <w:rFonts w:ascii="Tahoma" w:hAnsi="Tahoma" w:cs="Tahoma"/>
        </w:rPr>
        <w:t xml:space="preserve"> </w:t>
      </w:r>
      <w:proofErr w:type="spellStart"/>
      <w:r w:rsidRPr="00694329">
        <w:rPr>
          <w:rFonts w:ascii="Tahoma" w:hAnsi="Tahoma" w:cs="Tahoma"/>
        </w:rPr>
        <w:t>Partners</w:t>
      </w:r>
      <w:proofErr w:type="spellEnd"/>
      <w:r w:rsidRPr="00694329">
        <w:rPr>
          <w:rFonts w:ascii="Tahoma" w:hAnsi="Tahoma" w:cs="Tahoma"/>
        </w:rPr>
        <w:t xml:space="preserve"> Limited, Finmeccanica </w:t>
      </w:r>
      <w:proofErr w:type="spellStart"/>
      <w:r w:rsidRPr="00694329">
        <w:rPr>
          <w:rFonts w:ascii="Tahoma" w:hAnsi="Tahoma" w:cs="Tahoma"/>
        </w:rPr>
        <w:t>s.p.a.</w:t>
      </w:r>
      <w:proofErr w:type="spellEnd"/>
      <w:r w:rsidRPr="00694329">
        <w:rPr>
          <w:rFonts w:ascii="Tahoma" w:hAnsi="Tahoma" w:cs="Tahoma"/>
        </w:rPr>
        <w:t xml:space="preserve"> e Hitachi </w:t>
      </w:r>
      <w:proofErr w:type="spellStart"/>
      <w:r w:rsidRPr="00694329">
        <w:rPr>
          <w:rFonts w:ascii="Tahoma" w:hAnsi="Tahoma" w:cs="Tahoma"/>
        </w:rPr>
        <w:t>Rail</w:t>
      </w:r>
      <w:proofErr w:type="spellEnd"/>
      <w:r w:rsidRPr="00694329">
        <w:rPr>
          <w:rFonts w:ascii="Tahoma" w:hAnsi="Tahoma" w:cs="Tahoma"/>
        </w:rPr>
        <w:t xml:space="preserve"> </w:t>
      </w:r>
      <w:proofErr w:type="spellStart"/>
      <w:r w:rsidRPr="00694329">
        <w:rPr>
          <w:rFonts w:ascii="Tahoma" w:hAnsi="Tahoma" w:cs="Tahoma"/>
        </w:rPr>
        <w:t>Italy</w:t>
      </w:r>
      <w:proofErr w:type="spellEnd"/>
      <w:r w:rsidRPr="00694329">
        <w:rPr>
          <w:rFonts w:ascii="Tahoma" w:hAnsi="Tahoma" w:cs="Tahoma"/>
        </w:rPr>
        <w:t xml:space="preserve"> Investments s.r.l.;</w:t>
      </w:r>
      <w:r w:rsidRPr="00694329">
        <w:rPr>
          <w:rFonts w:ascii="Tahoma" w:hAnsi="Tahoma" w:cs="Tahoma"/>
        </w:rPr>
        <w:br/>
      </w:r>
      <w:r w:rsidRPr="00694329">
        <w:rPr>
          <w:rFonts w:ascii="Tahoma" w:hAnsi="Tahoma" w:cs="Tahoma"/>
        </w:rPr>
        <w:lastRenderedPageBreak/>
        <w:t>Viste le memorie difensive;</w:t>
      </w:r>
      <w:r w:rsidRPr="00694329">
        <w:rPr>
          <w:rFonts w:ascii="Tahoma" w:hAnsi="Tahoma" w:cs="Tahoma"/>
        </w:rPr>
        <w:br/>
        <w:t>Visti tutti gli atti della causa;</w:t>
      </w:r>
      <w:r w:rsidRPr="00694329">
        <w:rPr>
          <w:rFonts w:ascii="Tahoma" w:hAnsi="Tahoma" w:cs="Tahoma"/>
        </w:rPr>
        <w:br/>
        <w:t xml:space="preserve">Relatore nella camera di consiglio del giorno 9 marzo 2017 il </w:t>
      </w:r>
      <w:proofErr w:type="spellStart"/>
      <w:r w:rsidRPr="00694329">
        <w:rPr>
          <w:rFonts w:ascii="Tahoma" w:hAnsi="Tahoma" w:cs="Tahoma"/>
        </w:rPr>
        <w:t>Cons</w:t>
      </w:r>
      <w:proofErr w:type="spellEnd"/>
      <w:r w:rsidRPr="00694329">
        <w:rPr>
          <w:rFonts w:ascii="Tahoma" w:hAnsi="Tahoma" w:cs="Tahoma"/>
        </w:rPr>
        <w:t xml:space="preserve">. Italo Volpe e uditi per le parti gli avvocati Stefania </w:t>
      </w:r>
      <w:proofErr w:type="spellStart"/>
      <w:r w:rsidRPr="00694329">
        <w:rPr>
          <w:rFonts w:ascii="Tahoma" w:hAnsi="Tahoma" w:cs="Tahoma"/>
        </w:rPr>
        <w:t>Lopatriello</w:t>
      </w:r>
      <w:proofErr w:type="spellEnd"/>
      <w:r w:rsidRPr="00694329">
        <w:rPr>
          <w:rFonts w:ascii="Tahoma" w:hAnsi="Tahoma" w:cs="Tahoma"/>
        </w:rPr>
        <w:t xml:space="preserve">, Gianfranco </w:t>
      </w:r>
      <w:proofErr w:type="spellStart"/>
      <w:r w:rsidRPr="00694329">
        <w:rPr>
          <w:rFonts w:ascii="Tahoma" w:hAnsi="Tahoma" w:cs="Tahoma"/>
        </w:rPr>
        <w:t>Randisi</w:t>
      </w:r>
      <w:proofErr w:type="spellEnd"/>
      <w:r w:rsidRPr="00694329">
        <w:rPr>
          <w:rFonts w:ascii="Tahoma" w:hAnsi="Tahoma" w:cs="Tahoma"/>
        </w:rPr>
        <w:t xml:space="preserve">, Domenico Ielo, Antonio </w:t>
      </w:r>
      <w:proofErr w:type="spellStart"/>
      <w:r w:rsidRPr="00694329">
        <w:rPr>
          <w:rFonts w:ascii="Tahoma" w:hAnsi="Tahoma" w:cs="Tahoma"/>
        </w:rPr>
        <w:t>Lirosi</w:t>
      </w:r>
      <w:proofErr w:type="spellEnd"/>
      <w:r w:rsidRPr="00694329">
        <w:rPr>
          <w:rFonts w:ascii="Tahoma" w:hAnsi="Tahoma" w:cs="Tahoma"/>
        </w:rPr>
        <w:t xml:space="preserve">, Andrea </w:t>
      </w:r>
      <w:proofErr w:type="spellStart"/>
      <w:r w:rsidRPr="00694329">
        <w:rPr>
          <w:rFonts w:ascii="Tahoma" w:hAnsi="Tahoma" w:cs="Tahoma"/>
        </w:rPr>
        <w:t>Falzone</w:t>
      </w:r>
      <w:proofErr w:type="spellEnd"/>
      <w:r w:rsidRPr="00694329">
        <w:rPr>
          <w:rFonts w:ascii="Tahoma" w:hAnsi="Tahoma" w:cs="Tahoma"/>
        </w:rPr>
        <w:t xml:space="preserve"> in dichiarata delega dell'avv. Carlo Malinconico;</w:t>
      </w:r>
      <w:r w:rsidRPr="00694329">
        <w:rPr>
          <w:rFonts w:ascii="Tahoma" w:hAnsi="Tahoma" w:cs="Tahoma"/>
        </w:rPr>
        <w:br/>
        <w:t>Ritenuto e considerato in fatto e diritto quanto segue.</w:t>
      </w:r>
    </w:p>
    <w:p w:rsidR="0078361C" w:rsidRPr="00694329" w:rsidRDefault="0078361C" w:rsidP="0078361C">
      <w:pPr>
        <w:rPr>
          <w:rFonts w:ascii="Tahoma" w:hAnsi="Tahoma" w:cs="Tahoma"/>
        </w:rPr>
      </w:pPr>
      <w:r w:rsidRPr="00694329">
        <w:rPr>
          <w:rFonts w:ascii="Tahoma" w:hAnsi="Tahoma" w:cs="Tahoma"/>
        </w:rPr>
        <w:t>FATTO e DIRITTO</w:t>
      </w:r>
    </w:p>
    <w:p w:rsidR="0078361C" w:rsidRPr="00694329" w:rsidRDefault="0078361C" w:rsidP="0078361C">
      <w:pPr>
        <w:rPr>
          <w:rFonts w:ascii="Tahoma" w:hAnsi="Tahoma" w:cs="Tahoma"/>
        </w:rPr>
      </w:pPr>
      <w:r w:rsidRPr="00694329">
        <w:rPr>
          <w:rFonts w:ascii="Tahoma" w:hAnsi="Tahoma" w:cs="Tahoma"/>
        </w:rPr>
        <w:t>1. Col ricorso in epigrafe la Commissione nazionale per le società e la borsa (di seguito “</w:t>
      </w:r>
      <w:proofErr w:type="spellStart"/>
      <w:r w:rsidRPr="00694329">
        <w:rPr>
          <w:rFonts w:ascii="Tahoma" w:hAnsi="Tahoma" w:cs="Tahoma"/>
        </w:rPr>
        <w:t>Consob</w:t>
      </w:r>
      <w:proofErr w:type="spellEnd"/>
      <w:r w:rsidRPr="00694329">
        <w:rPr>
          <w:rFonts w:ascii="Tahoma" w:hAnsi="Tahoma" w:cs="Tahoma"/>
        </w:rPr>
        <w:t xml:space="preserve">”) ha impugnato, per l’annullamento, la sentenza del Tar Lazio, Roma, n. 6954/2016, pubblicata il 16.6.2016, che, dichiarato improcedibile il ricorso principale e accolti i motivi aggiunti, nel contraddittorio con Finmeccanica </w:t>
      </w:r>
      <w:proofErr w:type="spellStart"/>
      <w:r w:rsidRPr="00694329">
        <w:rPr>
          <w:rFonts w:ascii="Tahoma" w:hAnsi="Tahoma" w:cs="Tahoma"/>
        </w:rPr>
        <w:t>s.p.a.</w:t>
      </w:r>
      <w:proofErr w:type="spellEnd"/>
      <w:r w:rsidRPr="00694329">
        <w:rPr>
          <w:rFonts w:ascii="Tahoma" w:hAnsi="Tahoma" w:cs="Tahoma"/>
        </w:rPr>
        <w:t xml:space="preserve"> (di seguito “Finmeccanica”) e con Hitachi </w:t>
      </w:r>
      <w:proofErr w:type="spellStart"/>
      <w:r w:rsidRPr="00694329">
        <w:rPr>
          <w:rFonts w:ascii="Tahoma" w:hAnsi="Tahoma" w:cs="Tahoma"/>
        </w:rPr>
        <w:t>Rail</w:t>
      </w:r>
      <w:proofErr w:type="spellEnd"/>
      <w:r w:rsidRPr="00694329">
        <w:rPr>
          <w:rFonts w:ascii="Tahoma" w:hAnsi="Tahoma" w:cs="Tahoma"/>
        </w:rPr>
        <w:t xml:space="preserve"> </w:t>
      </w:r>
      <w:proofErr w:type="spellStart"/>
      <w:r w:rsidRPr="00694329">
        <w:rPr>
          <w:rFonts w:ascii="Tahoma" w:hAnsi="Tahoma" w:cs="Tahoma"/>
        </w:rPr>
        <w:t>Italy</w:t>
      </w:r>
      <w:proofErr w:type="spellEnd"/>
      <w:r w:rsidRPr="00694329">
        <w:rPr>
          <w:rFonts w:ascii="Tahoma" w:hAnsi="Tahoma" w:cs="Tahoma"/>
        </w:rPr>
        <w:t xml:space="preserve"> Investments s.r.l. (di seguito “HRII”), le ha ordinato l’esibizione dei documenti chiesti in accesso il 9.12.2015 e il 10.2.2016 dalla </w:t>
      </w:r>
      <w:proofErr w:type="spellStart"/>
      <w:r w:rsidRPr="00694329">
        <w:rPr>
          <w:rFonts w:ascii="Tahoma" w:hAnsi="Tahoma" w:cs="Tahoma"/>
        </w:rPr>
        <w:t>Bluebell</w:t>
      </w:r>
      <w:proofErr w:type="spellEnd"/>
      <w:r w:rsidRPr="00694329">
        <w:rPr>
          <w:rFonts w:ascii="Tahoma" w:hAnsi="Tahoma" w:cs="Tahoma"/>
        </w:rPr>
        <w:t xml:space="preserve"> </w:t>
      </w:r>
      <w:proofErr w:type="spellStart"/>
      <w:r w:rsidRPr="00694329">
        <w:rPr>
          <w:rFonts w:ascii="Tahoma" w:hAnsi="Tahoma" w:cs="Tahoma"/>
        </w:rPr>
        <w:t>Partners</w:t>
      </w:r>
      <w:proofErr w:type="spellEnd"/>
      <w:r w:rsidRPr="00694329">
        <w:rPr>
          <w:rFonts w:ascii="Tahoma" w:hAnsi="Tahoma" w:cs="Tahoma"/>
        </w:rPr>
        <w:t xml:space="preserve"> Limited (di seguito “</w:t>
      </w:r>
      <w:proofErr w:type="spellStart"/>
      <w:r w:rsidRPr="00694329">
        <w:rPr>
          <w:rFonts w:ascii="Tahoma" w:hAnsi="Tahoma" w:cs="Tahoma"/>
        </w:rPr>
        <w:t>Bluebell</w:t>
      </w:r>
      <w:proofErr w:type="spellEnd"/>
      <w:r w:rsidRPr="00694329">
        <w:rPr>
          <w:rFonts w:ascii="Tahoma" w:hAnsi="Tahoma" w:cs="Tahoma"/>
        </w:rPr>
        <w:t xml:space="preserve">”), dopo che quest’ultima s’era doluta di una comunicazione </w:t>
      </w:r>
      <w:proofErr w:type="spellStart"/>
      <w:r w:rsidRPr="00694329">
        <w:rPr>
          <w:rFonts w:ascii="Tahoma" w:hAnsi="Tahoma" w:cs="Tahoma"/>
        </w:rPr>
        <w:t>Consob</w:t>
      </w:r>
      <w:proofErr w:type="spellEnd"/>
      <w:r w:rsidRPr="00694329">
        <w:rPr>
          <w:rFonts w:ascii="Tahoma" w:hAnsi="Tahoma" w:cs="Tahoma"/>
        </w:rPr>
        <w:t xml:space="preserve"> di differimento di accesso dell’8.1.2016 e del successivo diniego definitivo del 3.3.2016.</w:t>
      </w:r>
      <w:r w:rsidRPr="00694329">
        <w:rPr>
          <w:rFonts w:ascii="Tahoma" w:hAnsi="Tahoma" w:cs="Tahoma"/>
        </w:rPr>
        <w:br/>
        <w:t>1.1. Circa i fatti antecedenti, l’appellante ricorda che:</w:t>
      </w:r>
      <w:r w:rsidRPr="00694329">
        <w:rPr>
          <w:rFonts w:ascii="Tahoma" w:hAnsi="Tahoma" w:cs="Tahoma"/>
        </w:rPr>
        <w:br/>
        <w:t xml:space="preserve">- l’11.11.2015 </w:t>
      </w:r>
      <w:proofErr w:type="spellStart"/>
      <w:r w:rsidRPr="00694329">
        <w:rPr>
          <w:rFonts w:ascii="Tahoma" w:hAnsi="Tahoma" w:cs="Tahoma"/>
        </w:rPr>
        <w:t>Bluebell</w:t>
      </w:r>
      <w:proofErr w:type="spellEnd"/>
      <w:r w:rsidRPr="00694329">
        <w:rPr>
          <w:rFonts w:ascii="Tahoma" w:hAnsi="Tahoma" w:cs="Tahoma"/>
        </w:rPr>
        <w:t xml:space="preserve">, quale azionista di minoranza di Ansaldo STS, con azioni negoziate in MTA, le aveva presentato – ai sensi degli artt. 106, co. 3, </w:t>
      </w:r>
      <w:proofErr w:type="spellStart"/>
      <w:r w:rsidRPr="00694329">
        <w:rPr>
          <w:rFonts w:ascii="Tahoma" w:hAnsi="Tahoma" w:cs="Tahoma"/>
        </w:rPr>
        <w:t>lett</w:t>
      </w:r>
      <w:proofErr w:type="spellEnd"/>
      <w:r w:rsidRPr="00694329">
        <w:rPr>
          <w:rFonts w:ascii="Tahoma" w:hAnsi="Tahoma" w:cs="Tahoma"/>
        </w:rPr>
        <w:t xml:space="preserve">. d), del d.lgs. n. 58/1998, e successive modificazioni (“di seguito “TUF”), e 47-sexies del relativo regolamento di attuazione concernente la disciplina degli emittenti, adottato dalla </w:t>
      </w:r>
      <w:proofErr w:type="spellStart"/>
      <w:r w:rsidRPr="00694329">
        <w:rPr>
          <w:rFonts w:ascii="Tahoma" w:hAnsi="Tahoma" w:cs="Tahoma"/>
        </w:rPr>
        <w:t>Consob</w:t>
      </w:r>
      <w:proofErr w:type="spellEnd"/>
      <w:r w:rsidRPr="00694329">
        <w:rPr>
          <w:rFonts w:ascii="Tahoma" w:hAnsi="Tahoma" w:cs="Tahoma"/>
        </w:rPr>
        <w:t xml:space="preserve"> con delibera n. 11971 del 14 maggio 1999, e successive modificazioni, (di seguito “regolamento”) – un’istanza per l’aumento del prezzo dell'offerta pubblica obbligatoria promossa da Hitachi sulla totalità delle azioni della Ansaldo STS;</w:t>
      </w:r>
      <w:r w:rsidRPr="00694329">
        <w:rPr>
          <w:rFonts w:ascii="Tahoma" w:hAnsi="Tahoma" w:cs="Tahoma"/>
        </w:rPr>
        <w:br/>
        <w:t xml:space="preserve">- la </w:t>
      </w:r>
      <w:proofErr w:type="spellStart"/>
      <w:r w:rsidRPr="00694329">
        <w:rPr>
          <w:rFonts w:ascii="Tahoma" w:hAnsi="Tahoma" w:cs="Tahoma"/>
        </w:rPr>
        <w:t>Consob</w:t>
      </w:r>
      <w:proofErr w:type="spellEnd"/>
      <w:r w:rsidRPr="00694329">
        <w:rPr>
          <w:rFonts w:ascii="Tahoma" w:hAnsi="Tahoma" w:cs="Tahoma"/>
        </w:rPr>
        <w:t>, in accoglimento della domanda, aveva con delibera n. 19507 del 3.2.2016 rettificato in aumento (da euro 9,50 ad euro 9,899) il prezzo dell’offerta pubblica di acquisto (di seguito “OPA”);</w:t>
      </w:r>
      <w:r w:rsidRPr="00694329">
        <w:rPr>
          <w:rFonts w:ascii="Tahoma" w:hAnsi="Tahoma" w:cs="Tahoma"/>
        </w:rPr>
        <w:br/>
        <w:t xml:space="preserve">- nel corso del relativo procedimento </w:t>
      </w:r>
      <w:proofErr w:type="spellStart"/>
      <w:r w:rsidRPr="00694329">
        <w:rPr>
          <w:rFonts w:ascii="Tahoma" w:hAnsi="Tahoma" w:cs="Tahoma"/>
        </w:rPr>
        <w:t>Bluebell</w:t>
      </w:r>
      <w:proofErr w:type="spellEnd"/>
      <w:r w:rsidRPr="00694329">
        <w:rPr>
          <w:rFonts w:ascii="Tahoma" w:hAnsi="Tahoma" w:cs="Tahoma"/>
        </w:rPr>
        <w:t xml:space="preserve"> ha fatto una prima istanza di accesso, accolta dalla </w:t>
      </w:r>
      <w:proofErr w:type="spellStart"/>
      <w:r w:rsidRPr="00694329">
        <w:rPr>
          <w:rFonts w:ascii="Tahoma" w:hAnsi="Tahoma" w:cs="Tahoma"/>
        </w:rPr>
        <w:t>Consob</w:t>
      </w:r>
      <w:proofErr w:type="spellEnd"/>
      <w:r w:rsidRPr="00694329">
        <w:rPr>
          <w:rFonts w:ascii="Tahoma" w:hAnsi="Tahoma" w:cs="Tahoma"/>
        </w:rPr>
        <w:t xml:space="preserve"> con l’ostensione dei documenti contenuti al momento nel fascicolo istruttorio, tranne la corrispondenza con l’istante;</w:t>
      </w:r>
      <w:r w:rsidRPr="00694329">
        <w:rPr>
          <w:rFonts w:ascii="Tahoma" w:hAnsi="Tahoma" w:cs="Tahoma"/>
        </w:rPr>
        <w:br/>
        <w:t xml:space="preserve">- ad una nuova domanda di </w:t>
      </w:r>
      <w:proofErr w:type="spellStart"/>
      <w:r w:rsidRPr="00694329">
        <w:rPr>
          <w:rFonts w:ascii="Tahoma" w:hAnsi="Tahoma" w:cs="Tahoma"/>
        </w:rPr>
        <w:t>Bluebell</w:t>
      </w:r>
      <w:proofErr w:type="spellEnd"/>
      <w:r w:rsidRPr="00694329">
        <w:rPr>
          <w:rFonts w:ascii="Tahoma" w:hAnsi="Tahoma" w:cs="Tahoma"/>
        </w:rPr>
        <w:t xml:space="preserve"> del 9.12.2015 è stato risposto che l'accesso non sarebbe stato concesso fino all'adozione della decisione conclusiva sull’istanza di rialzo del prezzo dell’OPA;</w:t>
      </w:r>
      <w:r w:rsidRPr="00694329">
        <w:rPr>
          <w:rFonts w:ascii="Tahoma" w:hAnsi="Tahoma" w:cs="Tahoma"/>
        </w:rPr>
        <w:br/>
        <w:t xml:space="preserve">- nel corso del giudizio di primo grado che n’era seguito </w:t>
      </w:r>
      <w:proofErr w:type="spellStart"/>
      <w:r w:rsidRPr="00694329">
        <w:rPr>
          <w:rFonts w:ascii="Tahoma" w:hAnsi="Tahoma" w:cs="Tahoma"/>
        </w:rPr>
        <w:t>Bluebell</w:t>
      </w:r>
      <w:proofErr w:type="spellEnd"/>
      <w:r w:rsidRPr="00694329">
        <w:rPr>
          <w:rFonts w:ascii="Tahoma" w:hAnsi="Tahoma" w:cs="Tahoma"/>
        </w:rPr>
        <w:t xml:space="preserve"> ha rinnovato il 10.2.2016 la domanda di accesso alla stessa documentazione, dato che ormai la </w:t>
      </w:r>
      <w:proofErr w:type="spellStart"/>
      <w:r w:rsidRPr="00694329">
        <w:rPr>
          <w:rFonts w:ascii="Tahoma" w:hAnsi="Tahoma" w:cs="Tahoma"/>
        </w:rPr>
        <w:t>Consob</w:t>
      </w:r>
      <w:proofErr w:type="spellEnd"/>
      <w:r w:rsidRPr="00694329">
        <w:rPr>
          <w:rFonts w:ascii="Tahoma" w:hAnsi="Tahoma" w:cs="Tahoma"/>
        </w:rPr>
        <w:t xml:space="preserve"> aveva chiuso il procedimento di rialzo del prezzo, ma questa volta l’accesso è stato negato per eventi sopravvenuti e per le conseguenti valutazioni circa il fatto che: a) alcuni documenti trasmessi da HRII e da Finmeccanica non erano a fondamento della decisione finale della Commissione e quindi non v’era interesse all’ostensione e b) permanevano le esigenze di riservatezza rappresentate da tali società circa i documenti da esse trasmessi;</w:t>
      </w:r>
      <w:r w:rsidRPr="00694329">
        <w:rPr>
          <w:rFonts w:ascii="Tahoma" w:hAnsi="Tahoma" w:cs="Tahoma"/>
        </w:rPr>
        <w:br/>
        <w:t xml:space="preserve">- il 15.3.2016 </w:t>
      </w:r>
      <w:proofErr w:type="spellStart"/>
      <w:r w:rsidRPr="00694329">
        <w:rPr>
          <w:rFonts w:ascii="Tahoma" w:hAnsi="Tahoma" w:cs="Tahoma"/>
        </w:rPr>
        <w:t>Bluebell</w:t>
      </w:r>
      <w:proofErr w:type="spellEnd"/>
      <w:r w:rsidRPr="00694329">
        <w:rPr>
          <w:rFonts w:ascii="Tahoma" w:hAnsi="Tahoma" w:cs="Tahoma"/>
        </w:rPr>
        <w:t xml:space="preserve"> ha proposto ricorso avverso la delibera </w:t>
      </w:r>
      <w:proofErr w:type="spellStart"/>
      <w:r w:rsidRPr="00694329">
        <w:rPr>
          <w:rFonts w:ascii="Tahoma" w:hAnsi="Tahoma" w:cs="Tahoma"/>
        </w:rPr>
        <w:t>Consob</w:t>
      </w:r>
      <w:proofErr w:type="spellEnd"/>
      <w:r w:rsidRPr="00694329">
        <w:rPr>
          <w:rFonts w:ascii="Tahoma" w:hAnsi="Tahoma" w:cs="Tahoma"/>
        </w:rPr>
        <w:t xml:space="preserve"> del 3.2.2016 di rialzo del prezzo, “limitatamente alla parte in cui ha rettificato in aumento il prezzo dell'offerta pubblica di acquisto obbligatoria promossa da Hitachi </w:t>
      </w:r>
      <w:proofErr w:type="spellStart"/>
      <w:r w:rsidRPr="00694329">
        <w:rPr>
          <w:rFonts w:ascii="Tahoma" w:hAnsi="Tahoma" w:cs="Tahoma"/>
        </w:rPr>
        <w:t>Rail</w:t>
      </w:r>
      <w:proofErr w:type="spellEnd"/>
      <w:r w:rsidRPr="00694329">
        <w:rPr>
          <w:rFonts w:ascii="Tahoma" w:hAnsi="Tahoma" w:cs="Tahoma"/>
        </w:rPr>
        <w:t xml:space="preserve"> </w:t>
      </w:r>
      <w:proofErr w:type="spellStart"/>
      <w:r w:rsidRPr="00694329">
        <w:rPr>
          <w:rFonts w:ascii="Tahoma" w:hAnsi="Tahoma" w:cs="Tahoma"/>
        </w:rPr>
        <w:t>Italy</w:t>
      </w:r>
      <w:proofErr w:type="spellEnd"/>
      <w:r w:rsidRPr="00694329">
        <w:rPr>
          <w:rFonts w:ascii="Tahoma" w:hAnsi="Tahoma" w:cs="Tahoma"/>
        </w:rPr>
        <w:t xml:space="preserve"> </w:t>
      </w:r>
      <w:proofErr w:type="spellStart"/>
      <w:r w:rsidRPr="00694329">
        <w:rPr>
          <w:rFonts w:ascii="Tahoma" w:hAnsi="Tahoma" w:cs="Tahoma"/>
        </w:rPr>
        <w:t>Investment</w:t>
      </w:r>
      <w:proofErr w:type="spellEnd"/>
      <w:r w:rsidRPr="00694329">
        <w:rPr>
          <w:rFonts w:ascii="Tahoma" w:hAnsi="Tahoma" w:cs="Tahoma"/>
        </w:rPr>
        <w:t xml:space="preserve"> s.r.l. (…)a euro 9,899 per ciascuna azione emessa da Ansaldo STS S.p.A.”, sostenendo l’inadeguatezza del corrispettivo così determinato (reputato inferiore a quello effettivamente riconosciuto al venditore della partecipazione dall’offerente);</w:t>
      </w:r>
      <w:r w:rsidRPr="00694329">
        <w:rPr>
          <w:rFonts w:ascii="Tahoma" w:hAnsi="Tahoma" w:cs="Tahoma"/>
        </w:rPr>
        <w:br/>
        <w:t xml:space="preserve">- nell'ambito del giudizio di accesso già instaurato, </w:t>
      </w:r>
      <w:proofErr w:type="spellStart"/>
      <w:r w:rsidRPr="00694329">
        <w:rPr>
          <w:rFonts w:ascii="Tahoma" w:hAnsi="Tahoma" w:cs="Tahoma"/>
        </w:rPr>
        <w:t>Bluebell</w:t>
      </w:r>
      <w:proofErr w:type="spellEnd"/>
      <w:r w:rsidRPr="00694329">
        <w:rPr>
          <w:rFonts w:ascii="Tahoma" w:hAnsi="Tahoma" w:cs="Tahoma"/>
        </w:rPr>
        <w:t xml:space="preserve"> ha proposto motivi aggiunti avverso il diniego definitivo di accesso.</w:t>
      </w:r>
      <w:r w:rsidRPr="00694329">
        <w:rPr>
          <w:rFonts w:ascii="Tahoma" w:hAnsi="Tahoma" w:cs="Tahoma"/>
        </w:rPr>
        <w:br/>
        <w:t xml:space="preserve">1.2. La </w:t>
      </w:r>
      <w:proofErr w:type="spellStart"/>
      <w:r w:rsidRPr="00694329">
        <w:rPr>
          <w:rFonts w:ascii="Tahoma" w:hAnsi="Tahoma" w:cs="Tahoma"/>
        </w:rPr>
        <w:t>Consob</w:t>
      </w:r>
      <w:proofErr w:type="spellEnd"/>
      <w:r w:rsidRPr="00694329">
        <w:rPr>
          <w:rFonts w:ascii="Tahoma" w:hAnsi="Tahoma" w:cs="Tahoma"/>
        </w:rPr>
        <w:t xml:space="preserve"> si duole della sentenza di primo grado che, dichiarato improcedibile il ricorso </w:t>
      </w:r>
      <w:r w:rsidRPr="00694329">
        <w:rPr>
          <w:rFonts w:ascii="Tahoma" w:hAnsi="Tahoma" w:cs="Tahoma"/>
        </w:rPr>
        <w:lastRenderedPageBreak/>
        <w:t>principale per la sopravvenuta carenza d’interesse dovuta all’intervenuto diniego definitivo di accesso, ha deciso sui motivi aggiunti nei termini predetti sostenendo in sintesi che:</w:t>
      </w:r>
      <w:r w:rsidRPr="00694329">
        <w:rPr>
          <w:rFonts w:ascii="Tahoma" w:hAnsi="Tahoma" w:cs="Tahoma"/>
        </w:rPr>
        <w:br/>
        <w:t xml:space="preserve">- quanto al fatto che alcuni documenti pretesi non sarebbero stati alla base della decisione finale della </w:t>
      </w:r>
      <w:proofErr w:type="spellStart"/>
      <w:r w:rsidRPr="00694329">
        <w:rPr>
          <w:rFonts w:ascii="Tahoma" w:hAnsi="Tahoma" w:cs="Tahoma"/>
        </w:rPr>
        <w:t>Consob</w:t>
      </w:r>
      <w:proofErr w:type="spellEnd"/>
      <w:r w:rsidRPr="00694329">
        <w:rPr>
          <w:rFonts w:ascii="Tahoma" w:hAnsi="Tahoma" w:cs="Tahoma"/>
        </w:rPr>
        <w:t>, la valutazione di rilevanza e pertinenza delle informazioni cercate, soprattutto nell'accesso c.d. defensionale, “è affidata al richiedente l'accesso, il quale rimane arbitro di decidere la propria strategia difensiva, extra processuale e processuale”, senza poi contare che il richiedente potrebbe anche all’occorrenza contestare la stessa circostanza dell’asserita non pertinenza della documentazione chiesta col provvedimento definitivo che la parte reputa lesivo;</w:t>
      </w:r>
      <w:r w:rsidRPr="00694329">
        <w:rPr>
          <w:rFonts w:ascii="Tahoma" w:hAnsi="Tahoma" w:cs="Tahoma"/>
        </w:rPr>
        <w:br/>
        <w:t>- quanto alle esigenze di riservatezza dei terzi, prevarrebbe comunque, ormai, l’accesso c.d. defensionale;</w:t>
      </w:r>
      <w:r w:rsidRPr="00694329">
        <w:rPr>
          <w:rFonts w:ascii="Tahoma" w:hAnsi="Tahoma" w:cs="Tahoma"/>
        </w:rPr>
        <w:br/>
        <w:t xml:space="preserve">- quanto all’opposto segreto d’ufficio di cui all’art. 4, co. 10, del TUF, il tema della prevalenza dell’interesse all’accesso è già stato risolto da C. </w:t>
      </w:r>
      <w:proofErr w:type="spellStart"/>
      <w:r w:rsidRPr="00694329">
        <w:rPr>
          <w:rFonts w:ascii="Tahoma" w:hAnsi="Tahoma" w:cs="Tahoma"/>
        </w:rPr>
        <w:t>Cost</w:t>
      </w:r>
      <w:proofErr w:type="spellEnd"/>
      <w:r w:rsidRPr="00694329">
        <w:rPr>
          <w:rFonts w:ascii="Tahoma" w:hAnsi="Tahoma" w:cs="Tahoma"/>
        </w:rPr>
        <w:t xml:space="preserve">. </w:t>
      </w:r>
      <w:proofErr w:type="spellStart"/>
      <w:r w:rsidRPr="00694329">
        <w:rPr>
          <w:rFonts w:ascii="Tahoma" w:hAnsi="Tahoma" w:cs="Tahoma"/>
        </w:rPr>
        <w:t>nn</w:t>
      </w:r>
      <w:proofErr w:type="spellEnd"/>
      <w:r w:rsidRPr="00694329">
        <w:rPr>
          <w:rFonts w:ascii="Tahoma" w:hAnsi="Tahoma" w:cs="Tahoma"/>
        </w:rPr>
        <w:t>. 460/2000 e 32/2005, con un orientamento estensibile ad un procedimento quale quello di aumento del prezzo di un’OPA, da qualificarsi come “procedimento di controllo a carattere contenzioso” nel cui ambito la posizione dell'istante “deve essere considerata a tutti gli effetti una posizione giuridica che si fonda in ultima analisi su un diritto soggettivo meritevole di piena e preminente considerazione nel necessario bilanciamento degli interessi che viene in gioco in questa materia”.</w:t>
      </w:r>
      <w:r w:rsidRPr="00694329">
        <w:rPr>
          <w:rFonts w:ascii="Tahoma" w:hAnsi="Tahoma" w:cs="Tahoma"/>
        </w:rPr>
        <w:br/>
        <w:t>1.3. L’appello si fonda sui seguenti motivi:</w:t>
      </w:r>
      <w:r w:rsidRPr="00694329">
        <w:rPr>
          <w:rFonts w:ascii="Tahoma" w:hAnsi="Tahoma" w:cs="Tahoma"/>
        </w:rPr>
        <w:br/>
        <w:t xml:space="preserve">a) violazione degli artt. 22, co. 1, </w:t>
      </w:r>
      <w:proofErr w:type="spellStart"/>
      <w:r w:rsidRPr="00694329">
        <w:rPr>
          <w:rFonts w:ascii="Tahoma" w:hAnsi="Tahoma" w:cs="Tahoma"/>
        </w:rPr>
        <w:t>lett</w:t>
      </w:r>
      <w:proofErr w:type="spellEnd"/>
      <w:r w:rsidRPr="00694329">
        <w:rPr>
          <w:rFonts w:ascii="Tahoma" w:hAnsi="Tahoma" w:cs="Tahoma"/>
        </w:rPr>
        <w:t xml:space="preserve">. b), e 24, co. 1 e 6, </w:t>
      </w:r>
      <w:proofErr w:type="spellStart"/>
      <w:r w:rsidRPr="00694329">
        <w:rPr>
          <w:rFonts w:ascii="Tahoma" w:hAnsi="Tahoma" w:cs="Tahoma"/>
        </w:rPr>
        <w:t>lett</w:t>
      </w:r>
      <w:proofErr w:type="spellEnd"/>
      <w:r w:rsidRPr="00694329">
        <w:rPr>
          <w:rFonts w:ascii="Tahoma" w:hAnsi="Tahoma" w:cs="Tahoma"/>
        </w:rPr>
        <w:t xml:space="preserve">. d), della </w:t>
      </w:r>
      <w:proofErr w:type="spellStart"/>
      <w:r w:rsidRPr="00694329">
        <w:rPr>
          <w:rFonts w:ascii="Tahoma" w:hAnsi="Tahoma" w:cs="Tahoma"/>
        </w:rPr>
        <w:t>l.n</w:t>
      </w:r>
      <w:proofErr w:type="spellEnd"/>
      <w:r w:rsidRPr="00694329">
        <w:rPr>
          <w:rFonts w:ascii="Tahoma" w:hAnsi="Tahoma" w:cs="Tahoma"/>
        </w:rPr>
        <w:t>. 241/1990 e dell'art. 4, co. 10, del TUF - legittimità della prima motivazione posta a fondamento del diniego di accesso.</w:t>
      </w:r>
      <w:r w:rsidRPr="00694329">
        <w:rPr>
          <w:rFonts w:ascii="Tahoma" w:hAnsi="Tahoma" w:cs="Tahoma"/>
        </w:rPr>
        <w:br/>
        <w:t xml:space="preserve">b) violazione dell'art. 24, co. 6, </w:t>
      </w:r>
      <w:proofErr w:type="spellStart"/>
      <w:r w:rsidRPr="00694329">
        <w:rPr>
          <w:rFonts w:ascii="Tahoma" w:hAnsi="Tahoma" w:cs="Tahoma"/>
        </w:rPr>
        <w:t>lett</w:t>
      </w:r>
      <w:proofErr w:type="spellEnd"/>
      <w:r w:rsidRPr="00694329">
        <w:rPr>
          <w:rFonts w:ascii="Tahoma" w:hAnsi="Tahoma" w:cs="Tahoma"/>
        </w:rPr>
        <w:t xml:space="preserve">. d), e 7, della </w:t>
      </w:r>
      <w:proofErr w:type="spellStart"/>
      <w:r w:rsidRPr="00694329">
        <w:rPr>
          <w:rFonts w:ascii="Tahoma" w:hAnsi="Tahoma" w:cs="Tahoma"/>
        </w:rPr>
        <w:t>l.n</w:t>
      </w:r>
      <w:proofErr w:type="spellEnd"/>
      <w:r w:rsidRPr="00694329">
        <w:rPr>
          <w:rFonts w:ascii="Tahoma" w:hAnsi="Tahoma" w:cs="Tahoma"/>
        </w:rPr>
        <w:t>. 241/1990 - legittimità della seconda motivazione posta a fondamento del diniego di accesso.</w:t>
      </w:r>
      <w:r w:rsidRPr="00694329">
        <w:rPr>
          <w:rFonts w:ascii="Tahoma" w:hAnsi="Tahoma" w:cs="Tahoma"/>
        </w:rPr>
        <w:br/>
        <w:t xml:space="preserve">c) violazione e falsa applicazione dell'art. 24, co. 1 e 7, della </w:t>
      </w:r>
      <w:proofErr w:type="spellStart"/>
      <w:r w:rsidRPr="00694329">
        <w:rPr>
          <w:rFonts w:ascii="Tahoma" w:hAnsi="Tahoma" w:cs="Tahoma"/>
        </w:rPr>
        <w:t>l.n</w:t>
      </w:r>
      <w:proofErr w:type="spellEnd"/>
      <w:r w:rsidRPr="00694329">
        <w:rPr>
          <w:rFonts w:ascii="Tahoma" w:hAnsi="Tahoma" w:cs="Tahoma"/>
        </w:rPr>
        <w:t xml:space="preserve">. 241/1990, e dell’art. 4, co. 10, del TUF nell'interpretazione datane dalla Corte Costituzionale, nonché dell'art. 24 della </w:t>
      </w:r>
      <w:proofErr w:type="spellStart"/>
      <w:r w:rsidRPr="00694329">
        <w:rPr>
          <w:rFonts w:ascii="Tahoma" w:hAnsi="Tahoma" w:cs="Tahoma"/>
        </w:rPr>
        <w:t>l.n</w:t>
      </w:r>
      <w:proofErr w:type="spellEnd"/>
      <w:r w:rsidRPr="00694329">
        <w:rPr>
          <w:rFonts w:ascii="Tahoma" w:hAnsi="Tahoma" w:cs="Tahoma"/>
        </w:rPr>
        <w:t xml:space="preserve">. 262/2005 - legittimità del diniego di accesso per sussistenza del segreto d'ufficio sugli atti di vigilanza della </w:t>
      </w:r>
      <w:proofErr w:type="spellStart"/>
      <w:r w:rsidRPr="00694329">
        <w:rPr>
          <w:rFonts w:ascii="Tahoma" w:hAnsi="Tahoma" w:cs="Tahoma"/>
        </w:rPr>
        <w:t>Consob</w:t>
      </w:r>
      <w:proofErr w:type="spellEnd"/>
      <w:r w:rsidRPr="00694329">
        <w:rPr>
          <w:rFonts w:ascii="Tahoma" w:hAnsi="Tahoma" w:cs="Tahoma"/>
        </w:rPr>
        <w:t>.</w:t>
      </w:r>
      <w:r w:rsidRPr="00694329">
        <w:rPr>
          <w:rFonts w:ascii="Tahoma" w:hAnsi="Tahoma" w:cs="Tahoma"/>
        </w:rPr>
        <w:br/>
        <w:t xml:space="preserve">d) violazione degli artt. 22, co. 1, </w:t>
      </w:r>
      <w:proofErr w:type="spellStart"/>
      <w:r w:rsidRPr="00694329">
        <w:rPr>
          <w:rFonts w:ascii="Tahoma" w:hAnsi="Tahoma" w:cs="Tahoma"/>
        </w:rPr>
        <w:t>lett</w:t>
      </w:r>
      <w:proofErr w:type="spellEnd"/>
      <w:r w:rsidRPr="00694329">
        <w:rPr>
          <w:rFonts w:ascii="Tahoma" w:hAnsi="Tahoma" w:cs="Tahoma"/>
        </w:rPr>
        <w:t xml:space="preserve">. b), e 24, co. 1, della </w:t>
      </w:r>
      <w:proofErr w:type="spellStart"/>
      <w:r w:rsidRPr="00694329">
        <w:rPr>
          <w:rFonts w:ascii="Tahoma" w:hAnsi="Tahoma" w:cs="Tahoma"/>
        </w:rPr>
        <w:t>l.n</w:t>
      </w:r>
      <w:proofErr w:type="spellEnd"/>
      <w:r w:rsidRPr="00694329">
        <w:rPr>
          <w:rFonts w:ascii="Tahoma" w:hAnsi="Tahoma" w:cs="Tahoma"/>
        </w:rPr>
        <w:t>. 241/1990 e dell'art. 4, co. 10, del TUF, sotto ulteriore profilo - irrilevanza per la soluzione della causa della posizione sostanziale di azionista di minoranza del soggetto richiedente.</w:t>
      </w:r>
      <w:r w:rsidRPr="00694329">
        <w:rPr>
          <w:rFonts w:ascii="Tahoma" w:hAnsi="Tahoma" w:cs="Tahoma"/>
        </w:rPr>
        <w:br/>
        <w:t>Queste, al nocciolo, le loro ragioni, ad avviso di parte:</w:t>
      </w:r>
      <w:r w:rsidRPr="00694329">
        <w:rPr>
          <w:rFonts w:ascii="Tahoma" w:hAnsi="Tahoma" w:cs="Tahoma"/>
        </w:rPr>
        <w:br/>
        <w:t xml:space="preserve">a.1) è del tutto erroneo l’orientamento di primo grado che poggia sull’assunto di una tale estensione del diritto di accesso da permettere, con esso, di arrivare a conoscere anche atti non posti a base dei provvedimenti che non soddisfano coloro che, per questo, puntano alla conoscenza anche di atti estranei. L’orientamento scardina un necessario equilibrio fra contrapposti interessi </w:t>
      </w:r>
      <w:proofErr w:type="spellStart"/>
      <w:r w:rsidRPr="00694329">
        <w:rPr>
          <w:rFonts w:ascii="Tahoma" w:hAnsi="Tahoma" w:cs="Tahoma"/>
        </w:rPr>
        <w:t>giacchè</w:t>
      </w:r>
      <w:proofErr w:type="spellEnd"/>
      <w:r w:rsidRPr="00694329">
        <w:rPr>
          <w:rFonts w:ascii="Tahoma" w:hAnsi="Tahoma" w:cs="Tahoma"/>
        </w:rPr>
        <w:t>, ad accesso soddisfatto, l’eventuale valutazione di non rilevanza e pertinenza della documentazione (comunque voluta) giungerebbe tardi, quando ormai sono lesi gli opposti interessi sacrificati in nome dell’ostensione. Meglio allora affermare che sia sempre il giudice a dirimere preventivamente, nel concreto dei singoli casi di specie, gli opposti argomenti circa la rilevanza e pertinenza della documentazione pretesa;</w:t>
      </w:r>
      <w:r w:rsidRPr="00694329">
        <w:rPr>
          <w:rFonts w:ascii="Tahoma" w:hAnsi="Tahoma" w:cs="Tahoma"/>
        </w:rPr>
        <w:br/>
        <w:t xml:space="preserve">b.1) ha errato il Giudice di primo grado quando, dopo aver comunque avuto uno scrupolo in ordine alla rilevanza dell’eccepito tema della riservatezza (affermando che essa “nella specie acquisisce connotati di particolare delicatezza”, </w:t>
      </w:r>
      <w:proofErr w:type="spellStart"/>
      <w:r w:rsidRPr="00694329">
        <w:rPr>
          <w:rFonts w:ascii="Tahoma" w:hAnsi="Tahoma" w:cs="Tahoma"/>
        </w:rPr>
        <w:t>giacchè</w:t>
      </w:r>
      <w:proofErr w:type="spellEnd"/>
      <w:r w:rsidRPr="00694329">
        <w:rPr>
          <w:rFonts w:ascii="Tahoma" w:hAnsi="Tahoma" w:cs="Tahoma"/>
        </w:rPr>
        <w:t xml:space="preserve"> “I documenti in questione contengono infatti dati di natura industriale/commerciale e informazioni relative al business delle società odierne </w:t>
      </w:r>
      <w:proofErr w:type="spellStart"/>
      <w:r w:rsidRPr="00694329">
        <w:rPr>
          <w:rFonts w:ascii="Tahoma" w:hAnsi="Tahoma" w:cs="Tahoma"/>
        </w:rPr>
        <w:t>controinteressate</w:t>
      </w:r>
      <w:proofErr w:type="spellEnd"/>
      <w:r w:rsidRPr="00694329">
        <w:rPr>
          <w:rFonts w:ascii="Tahoma" w:hAnsi="Tahoma" w:cs="Tahoma"/>
        </w:rPr>
        <w:t>”), se n’è disfatto senza alcuna valutazione comparativa con le esigenze difensive anteposte dal richiedente, affermando la prevalenza di queste ultime acriticamente ed immotivatamente;</w:t>
      </w:r>
      <w:r w:rsidRPr="00694329">
        <w:rPr>
          <w:rFonts w:ascii="Tahoma" w:hAnsi="Tahoma" w:cs="Tahoma"/>
        </w:rPr>
        <w:br/>
      </w:r>
      <w:r w:rsidRPr="00694329">
        <w:rPr>
          <w:rFonts w:ascii="Tahoma" w:hAnsi="Tahoma" w:cs="Tahoma"/>
        </w:rPr>
        <w:lastRenderedPageBreak/>
        <w:t>c.1) è erronea l’assimilazione compiuta in primo grado tra procedimenti disciplinari (a valenza sanzionatoria) – in ordine ai quali la Corte Costituzionale ha potuto compiere le note valutazioni richiamate nella sentenza impugnata – ed un procedimento quale quello in relazione al quale, nella fattispecie, è scaturito l’interesse all’accesso. Gli assunti del Tar sono erronei perché vanno oltre i confini segnati in argomento dal Giudice delle leggi e comunque ne tradiscono la loro ratio. Gli stessi, poi, travalicano anche i confini tracciati dal Consiglio di Stato con la sentenza di questa Sezione n. 3003/2016;</w:t>
      </w:r>
      <w:r w:rsidRPr="00694329">
        <w:rPr>
          <w:rFonts w:ascii="Tahoma" w:hAnsi="Tahoma" w:cs="Tahoma"/>
        </w:rPr>
        <w:br/>
        <w:t xml:space="preserve">d.1) non è infine condivisibile la valorizzazione compiuta dal Tar (in termini peraltro incerti quanto al loro effettivo grado di </w:t>
      </w:r>
      <w:proofErr w:type="spellStart"/>
      <w:r w:rsidRPr="00694329">
        <w:rPr>
          <w:rFonts w:ascii="Tahoma" w:hAnsi="Tahoma" w:cs="Tahoma"/>
        </w:rPr>
        <w:t>risolutività</w:t>
      </w:r>
      <w:proofErr w:type="spellEnd"/>
      <w:r w:rsidRPr="00694329">
        <w:rPr>
          <w:rFonts w:ascii="Tahoma" w:hAnsi="Tahoma" w:cs="Tahoma"/>
        </w:rPr>
        <w:t xml:space="preserve"> nella soluzione del caso di specie) della posizione sostanziale di un’azionista di minoranza, a prescindere dalla sua peculiare posizione di parte in un processo volto a contestare la decisione della </w:t>
      </w:r>
      <w:proofErr w:type="spellStart"/>
      <w:r w:rsidRPr="00694329">
        <w:rPr>
          <w:rFonts w:ascii="Tahoma" w:hAnsi="Tahoma" w:cs="Tahoma"/>
        </w:rPr>
        <w:t>Consob</w:t>
      </w:r>
      <w:proofErr w:type="spellEnd"/>
      <w:r w:rsidRPr="00694329">
        <w:rPr>
          <w:rFonts w:ascii="Tahoma" w:hAnsi="Tahoma" w:cs="Tahoma"/>
        </w:rPr>
        <w:t xml:space="preserve"> in ordine all’aumento del prezzo dell'OPA e semmai di parte, in qualità di istante, del relativo procedimento amministrativo. Le parole usate al riguardo dal Giudice di primo grado sono tali da poter aprire la strada, in un anelito di conoscenza, anche ad azionisti di minoranza che, a differenza di quello del caso in discussione, non sono stati invece parti del predetto procedimento di aumento del prezzo. Ad avviso di parte è per questo comunque opportuno, adesso, un chiarimento.</w:t>
      </w:r>
      <w:r w:rsidRPr="00694329">
        <w:rPr>
          <w:rFonts w:ascii="Tahoma" w:hAnsi="Tahoma" w:cs="Tahoma"/>
        </w:rPr>
        <w:br/>
        <w:t xml:space="preserve">2. Anch’esse insoddisfatte della decisione di primo grado, pur se per profili diversi, </w:t>
      </w:r>
      <w:proofErr w:type="spellStart"/>
      <w:r w:rsidRPr="00694329">
        <w:rPr>
          <w:rFonts w:ascii="Tahoma" w:hAnsi="Tahoma" w:cs="Tahoma"/>
        </w:rPr>
        <w:t>Bluebell</w:t>
      </w:r>
      <w:proofErr w:type="spellEnd"/>
      <w:r w:rsidRPr="00694329">
        <w:rPr>
          <w:rFonts w:ascii="Tahoma" w:hAnsi="Tahoma" w:cs="Tahoma"/>
        </w:rPr>
        <w:t>, HRII e Finmeccanica hanno proposto appelli incidentali.</w:t>
      </w:r>
      <w:r w:rsidRPr="00694329">
        <w:rPr>
          <w:rFonts w:ascii="Tahoma" w:hAnsi="Tahoma" w:cs="Tahoma"/>
        </w:rPr>
        <w:br/>
        <w:t xml:space="preserve">2.1. L’appello incidentale </w:t>
      </w:r>
      <w:proofErr w:type="spellStart"/>
      <w:r w:rsidRPr="00694329">
        <w:rPr>
          <w:rFonts w:ascii="Tahoma" w:hAnsi="Tahoma" w:cs="Tahoma"/>
        </w:rPr>
        <w:t>Bluebell</w:t>
      </w:r>
      <w:proofErr w:type="spellEnd"/>
      <w:r w:rsidRPr="00694329">
        <w:rPr>
          <w:rFonts w:ascii="Tahoma" w:hAnsi="Tahoma" w:cs="Tahoma"/>
        </w:rPr>
        <w:t xml:space="preserve"> si articola in sostanza così:</w:t>
      </w:r>
      <w:r w:rsidRPr="00694329">
        <w:rPr>
          <w:rFonts w:ascii="Tahoma" w:hAnsi="Tahoma" w:cs="Tahoma"/>
        </w:rPr>
        <w:br/>
        <w:t>A) riproposizione delle eccezioni o domande assorbite o non esaminate in primo grado;</w:t>
      </w:r>
      <w:r w:rsidRPr="00694329">
        <w:rPr>
          <w:rFonts w:ascii="Tahoma" w:hAnsi="Tahoma" w:cs="Tahoma"/>
        </w:rPr>
        <w:br/>
        <w:t>B) domanda incidentale di annullamento della sentenza criticata nella parte di declaratoria di improcedibilità del ricorso principale avverso il provvedimento di differimento dell’accesso;</w:t>
      </w:r>
      <w:r w:rsidRPr="00694329">
        <w:rPr>
          <w:rFonts w:ascii="Tahoma" w:hAnsi="Tahoma" w:cs="Tahoma"/>
        </w:rPr>
        <w:br/>
        <w:t>C) argomenti per l’infondatezza dell’appello principale.</w:t>
      </w:r>
      <w:r w:rsidRPr="00694329">
        <w:rPr>
          <w:rFonts w:ascii="Tahoma" w:hAnsi="Tahoma" w:cs="Tahoma"/>
        </w:rPr>
        <w:br/>
        <w:t>2.1.1. Quanto ad A), antepone la parte dettagli in fatto secondo i quali:</w:t>
      </w:r>
      <w:r w:rsidRPr="00694329">
        <w:rPr>
          <w:rFonts w:ascii="Tahoma" w:hAnsi="Tahoma" w:cs="Tahoma"/>
        </w:rPr>
        <w:br/>
        <w:t>- HRII ha sottoscritto un contratto per l'acquisto da Finmeccanica del 40 per cento delle azioni del capitale di Ansaldo STS (di seguito “STS”) e del 100 per cento delle azioni di Ansaldo Breda;</w:t>
      </w:r>
      <w:r w:rsidRPr="00694329">
        <w:rPr>
          <w:rFonts w:ascii="Tahoma" w:hAnsi="Tahoma" w:cs="Tahoma"/>
        </w:rPr>
        <w:br/>
        <w:t>- per effetto dell'acquisto della partecipazione in STS, HRII aveva l’obbligo di lanciare un’OPA sulla totalità delle azioni di STS, nell’ambito della quale il prezzo d’OPA corrisponde al prezzo più elevato pagato da HRII per acquisire la partecipazione in STS (ossia, secondo quanto dichiarato da HRII, euro 9,50 per azione);</w:t>
      </w:r>
      <w:r w:rsidRPr="00694329">
        <w:rPr>
          <w:rFonts w:ascii="Tahoma" w:hAnsi="Tahoma" w:cs="Tahoma"/>
        </w:rPr>
        <w:br/>
        <w:t xml:space="preserve">- </w:t>
      </w:r>
      <w:proofErr w:type="spellStart"/>
      <w:r w:rsidRPr="00694329">
        <w:rPr>
          <w:rFonts w:ascii="Tahoma" w:hAnsi="Tahoma" w:cs="Tahoma"/>
        </w:rPr>
        <w:t>Bluebell</w:t>
      </w:r>
      <w:proofErr w:type="spellEnd"/>
      <w:r w:rsidRPr="00694329">
        <w:rPr>
          <w:rFonts w:ascii="Tahoma" w:hAnsi="Tahoma" w:cs="Tahoma"/>
        </w:rPr>
        <w:t>, azionista di minoranza della società target dell’OPA:</w:t>
      </w:r>
      <w:r w:rsidRPr="00694329">
        <w:rPr>
          <w:rFonts w:ascii="Tahoma" w:hAnsi="Tahoma" w:cs="Tahoma"/>
        </w:rPr>
        <w:br/>
        <w:t xml:space="preserve">-- ha proposto a </w:t>
      </w:r>
      <w:proofErr w:type="spellStart"/>
      <w:r w:rsidRPr="00694329">
        <w:rPr>
          <w:rFonts w:ascii="Tahoma" w:hAnsi="Tahoma" w:cs="Tahoma"/>
        </w:rPr>
        <w:t>Consob</w:t>
      </w:r>
      <w:proofErr w:type="spellEnd"/>
      <w:r w:rsidRPr="00694329">
        <w:rPr>
          <w:rFonts w:ascii="Tahoma" w:hAnsi="Tahoma" w:cs="Tahoma"/>
        </w:rPr>
        <w:t xml:space="preserve"> un’istanza di accertamento della collusione del prezzo e di conseguente rettifica in aumento del prezzo di acquisto;</w:t>
      </w:r>
      <w:r w:rsidRPr="00694329">
        <w:rPr>
          <w:rFonts w:ascii="Tahoma" w:hAnsi="Tahoma" w:cs="Tahoma"/>
        </w:rPr>
        <w:br/>
        <w:t>-- ha presentato, poi, un’istanza di accesso per ottenere copia dei documenti relativi a tale procedura;</w:t>
      </w:r>
      <w:r w:rsidRPr="00694329">
        <w:rPr>
          <w:rFonts w:ascii="Tahoma" w:hAnsi="Tahoma" w:cs="Tahoma"/>
        </w:rPr>
        <w:br/>
        <w:t xml:space="preserve">- </w:t>
      </w:r>
      <w:proofErr w:type="spellStart"/>
      <w:r w:rsidRPr="00694329">
        <w:rPr>
          <w:rFonts w:ascii="Tahoma" w:hAnsi="Tahoma" w:cs="Tahoma"/>
        </w:rPr>
        <w:t>Consob</w:t>
      </w:r>
      <w:proofErr w:type="spellEnd"/>
      <w:r w:rsidRPr="00694329">
        <w:rPr>
          <w:rFonts w:ascii="Tahoma" w:hAnsi="Tahoma" w:cs="Tahoma"/>
        </w:rPr>
        <w:t xml:space="preserve"> ha deciso il differimento dell’accesso (fino alla chiusura del procedimento di rialzo del prezzo), che ha generato l’avvio del giudizio di primo grado;</w:t>
      </w:r>
      <w:r w:rsidRPr="00694329">
        <w:rPr>
          <w:rFonts w:ascii="Tahoma" w:hAnsi="Tahoma" w:cs="Tahoma"/>
        </w:rPr>
        <w:br/>
        <w:t xml:space="preserve">- </w:t>
      </w:r>
      <w:proofErr w:type="spellStart"/>
      <w:r w:rsidRPr="00694329">
        <w:rPr>
          <w:rFonts w:ascii="Tahoma" w:hAnsi="Tahoma" w:cs="Tahoma"/>
        </w:rPr>
        <w:t>Consob</w:t>
      </w:r>
      <w:proofErr w:type="spellEnd"/>
      <w:r w:rsidRPr="00694329">
        <w:rPr>
          <w:rFonts w:ascii="Tahoma" w:hAnsi="Tahoma" w:cs="Tahoma"/>
        </w:rPr>
        <w:t xml:space="preserve"> poi:</w:t>
      </w:r>
      <w:r w:rsidRPr="00694329">
        <w:rPr>
          <w:rFonts w:ascii="Tahoma" w:hAnsi="Tahoma" w:cs="Tahoma"/>
        </w:rPr>
        <w:br/>
        <w:t>-- ha accertato (grazie al procedimento di rialzo del prezzo) una collusione fra HRII e Finmeccanica, tesa a riconoscere al venditore un corrispettivo più elevato rispetto a quello dichiarato dall’offerente;</w:t>
      </w:r>
      <w:r w:rsidRPr="00694329">
        <w:rPr>
          <w:rFonts w:ascii="Tahoma" w:hAnsi="Tahoma" w:cs="Tahoma"/>
        </w:rPr>
        <w:br/>
        <w:t xml:space="preserve">-- ha negato la richiesta di </w:t>
      </w:r>
      <w:proofErr w:type="spellStart"/>
      <w:r w:rsidRPr="00694329">
        <w:rPr>
          <w:rFonts w:ascii="Tahoma" w:hAnsi="Tahoma" w:cs="Tahoma"/>
        </w:rPr>
        <w:t>Bluebell</w:t>
      </w:r>
      <w:proofErr w:type="spellEnd"/>
      <w:r w:rsidRPr="00694329">
        <w:rPr>
          <w:rFonts w:ascii="Tahoma" w:hAnsi="Tahoma" w:cs="Tahoma"/>
        </w:rPr>
        <w:t xml:space="preserve"> di quantificare l’effetto della collusione in 450 </w:t>
      </w:r>
      <w:proofErr w:type="spellStart"/>
      <w:r w:rsidRPr="00694329">
        <w:rPr>
          <w:rFonts w:ascii="Tahoma" w:hAnsi="Tahoma" w:cs="Tahoma"/>
        </w:rPr>
        <w:t>meuro</w:t>
      </w:r>
      <w:proofErr w:type="spellEnd"/>
      <w:r w:rsidRPr="00694329">
        <w:rPr>
          <w:rFonts w:ascii="Tahoma" w:hAnsi="Tahoma" w:cs="Tahoma"/>
        </w:rPr>
        <w:t>, cui sarebbe corrisposto un aumento del prezzo OPA di circa euro 5,5;</w:t>
      </w:r>
      <w:r w:rsidRPr="00694329">
        <w:rPr>
          <w:rFonts w:ascii="Tahoma" w:hAnsi="Tahoma" w:cs="Tahoma"/>
        </w:rPr>
        <w:br/>
        <w:t>- a suo avviso, l’accesso è strumentale a coltivare il contenzioso da essa già proposto contro la chiusura, nei termini detti, del procedimento di rialzo del prezzo;</w:t>
      </w:r>
      <w:r w:rsidRPr="00694329">
        <w:rPr>
          <w:rFonts w:ascii="Tahoma" w:hAnsi="Tahoma" w:cs="Tahoma"/>
        </w:rPr>
        <w:br/>
        <w:t xml:space="preserve">- è quindi sopravvenuto il definitivo diniego di accesso (nel contesto fenomenico già sopra </w:t>
      </w:r>
      <w:r w:rsidRPr="00694329">
        <w:rPr>
          <w:rFonts w:ascii="Tahoma" w:hAnsi="Tahoma" w:cs="Tahoma"/>
        </w:rPr>
        <w:lastRenderedPageBreak/>
        <w:t>riassunto).</w:t>
      </w:r>
      <w:r w:rsidRPr="00694329">
        <w:rPr>
          <w:rFonts w:ascii="Tahoma" w:hAnsi="Tahoma" w:cs="Tahoma"/>
        </w:rPr>
        <w:br/>
        <w:t>In diritto, la parte ripropone dunque le sue censure di:</w:t>
      </w:r>
      <w:r w:rsidRPr="00694329">
        <w:rPr>
          <w:rFonts w:ascii="Tahoma" w:hAnsi="Tahoma" w:cs="Tahoma"/>
        </w:rPr>
        <w:br/>
        <w:t xml:space="preserve">a) prima motivazione del differimento e primo motivo aggiunto avverso il diniego successivo: violazione per falsa applicazione dell’art. 25, co. 3, per mancata applicazione dell’art 24, co. 7, della </w:t>
      </w:r>
      <w:proofErr w:type="spellStart"/>
      <w:r w:rsidRPr="00694329">
        <w:rPr>
          <w:rFonts w:ascii="Tahoma" w:hAnsi="Tahoma" w:cs="Tahoma"/>
        </w:rPr>
        <w:t>l.n</w:t>
      </w:r>
      <w:proofErr w:type="spellEnd"/>
      <w:r w:rsidRPr="00694329">
        <w:rPr>
          <w:rFonts w:ascii="Tahoma" w:hAnsi="Tahoma" w:cs="Tahoma"/>
        </w:rPr>
        <w:t>. 241/1990, per falsa applicazione dell'art. 60 del d.lgs. n. 196/2013.</w:t>
      </w:r>
      <w:r w:rsidRPr="00694329">
        <w:rPr>
          <w:rFonts w:ascii="Tahoma" w:hAnsi="Tahoma" w:cs="Tahoma"/>
        </w:rPr>
        <w:br/>
        <w:t xml:space="preserve">E’ fallace ritenere giustificato il differimento d’accesso con opposte esigenze di riservatezza, </w:t>
      </w:r>
      <w:proofErr w:type="spellStart"/>
      <w:r w:rsidRPr="00694329">
        <w:rPr>
          <w:rFonts w:ascii="Tahoma" w:hAnsi="Tahoma" w:cs="Tahoma"/>
        </w:rPr>
        <w:t>giacchè</w:t>
      </w:r>
      <w:proofErr w:type="spellEnd"/>
      <w:r w:rsidRPr="00694329">
        <w:rPr>
          <w:rFonts w:ascii="Tahoma" w:hAnsi="Tahoma" w:cs="Tahoma"/>
        </w:rPr>
        <w:t xml:space="preserve"> queste recedono di fronte all’esigenza di curare interessi individuali, rispetto ai quali l’accesso è strumentale. Invero, fuori da ipotesi di divieto assoluto ovvero di divieto relativo, tra le quali ultime si collocano quelle di divieto per ragioni di riservatezza, rispetto alle quali tuttavia prevale l’accesso a fini defensionali, l’accesso non può essere negato.</w:t>
      </w:r>
      <w:r w:rsidRPr="00694329">
        <w:rPr>
          <w:rFonts w:ascii="Tahoma" w:hAnsi="Tahoma" w:cs="Tahoma"/>
        </w:rPr>
        <w:br/>
        <w:t xml:space="preserve">Questo bilanciamento tra opposti tiene pure dal punto di vista della privacy, anche rispetto alla quale prevale l’interesse che sostiene l’accesso c.d. defensionale, con l’unico limite per i c.d. dati </w:t>
      </w:r>
      <w:proofErr w:type="spellStart"/>
      <w:r w:rsidRPr="00694329">
        <w:rPr>
          <w:rFonts w:ascii="Tahoma" w:hAnsi="Tahoma" w:cs="Tahoma"/>
        </w:rPr>
        <w:t>supersensibili</w:t>
      </w:r>
      <w:proofErr w:type="spellEnd"/>
      <w:r w:rsidRPr="00694329">
        <w:rPr>
          <w:rFonts w:ascii="Tahoma" w:hAnsi="Tahoma" w:cs="Tahoma"/>
        </w:rPr>
        <w:t xml:space="preserve"> (salute e sfera sessale).</w:t>
      </w:r>
      <w:r w:rsidRPr="00694329">
        <w:rPr>
          <w:rFonts w:ascii="Tahoma" w:hAnsi="Tahoma" w:cs="Tahoma"/>
        </w:rPr>
        <w:br/>
        <w:t xml:space="preserve">b) seconda motivazione del differimento: violazione degli artt. 22, co. 2, e 25, co. 3, della </w:t>
      </w:r>
      <w:proofErr w:type="spellStart"/>
      <w:r w:rsidRPr="00694329">
        <w:rPr>
          <w:rFonts w:ascii="Tahoma" w:hAnsi="Tahoma" w:cs="Tahoma"/>
        </w:rPr>
        <w:t>l.n</w:t>
      </w:r>
      <w:proofErr w:type="spellEnd"/>
      <w:r w:rsidRPr="00694329">
        <w:rPr>
          <w:rFonts w:ascii="Tahoma" w:hAnsi="Tahoma" w:cs="Tahoma"/>
        </w:rPr>
        <w:t xml:space="preserve">. 241/1990 e dell'art. 1, co. 15, della </w:t>
      </w:r>
      <w:proofErr w:type="spellStart"/>
      <w:r w:rsidRPr="00694329">
        <w:rPr>
          <w:rFonts w:ascii="Tahoma" w:hAnsi="Tahoma" w:cs="Tahoma"/>
        </w:rPr>
        <w:t>l.n</w:t>
      </w:r>
      <w:proofErr w:type="spellEnd"/>
      <w:r w:rsidRPr="00694329">
        <w:rPr>
          <w:rFonts w:ascii="Tahoma" w:hAnsi="Tahoma" w:cs="Tahoma"/>
        </w:rPr>
        <w:t>. 190/2012.</w:t>
      </w:r>
      <w:r w:rsidRPr="00694329">
        <w:rPr>
          <w:rFonts w:ascii="Tahoma" w:hAnsi="Tahoma" w:cs="Tahoma"/>
        </w:rPr>
        <w:br/>
        <w:t xml:space="preserve">E’ sbagliato ritenere – come fatto da </w:t>
      </w:r>
      <w:proofErr w:type="spellStart"/>
      <w:r w:rsidRPr="00694329">
        <w:rPr>
          <w:rFonts w:ascii="Tahoma" w:hAnsi="Tahoma" w:cs="Tahoma"/>
        </w:rPr>
        <w:t>Consob</w:t>
      </w:r>
      <w:proofErr w:type="spellEnd"/>
      <w:r w:rsidRPr="00694329">
        <w:rPr>
          <w:rFonts w:ascii="Tahoma" w:hAnsi="Tahoma" w:cs="Tahoma"/>
        </w:rPr>
        <w:t xml:space="preserve"> – che l’accesso dovesse differirsi perché il procedimento di rialzo del prezzo non prevedeva una fase di contraddittorio con l’istante, in quanto:</w:t>
      </w:r>
      <w:r w:rsidRPr="00694329">
        <w:rPr>
          <w:rFonts w:ascii="Tahoma" w:hAnsi="Tahoma" w:cs="Tahoma"/>
        </w:rPr>
        <w:br/>
        <w:t xml:space="preserve">- per un verso, i casi legittimi di differimento – in quanto derogatori rispetto alla regola dell’accessibilità – devono essere contemplati dalla legge, che non prevede proprio quello addotto dalla </w:t>
      </w:r>
      <w:proofErr w:type="spellStart"/>
      <w:r w:rsidRPr="00694329">
        <w:rPr>
          <w:rFonts w:ascii="Tahoma" w:hAnsi="Tahoma" w:cs="Tahoma"/>
        </w:rPr>
        <w:t>Consob</w:t>
      </w:r>
      <w:proofErr w:type="spellEnd"/>
      <w:r w:rsidRPr="00694329">
        <w:rPr>
          <w:rFonts w:ascii="Tahoma" w:hAnsi="Tahoma" w:cs="Tahoma"/>
        </w:rPr>
        <w:t>;</w:t>
      </w:r>
      <w:r w:rsidRPr="00694329">
        <w:rPr>
          <w:rFonts w:ascii="Tahoma" w:hAnsi="Tahoma" w:cs="Tahoma"/>
        </w:rPr>
        <w:br/>
        <w:t>- per altro verso, la fase di interlocuzione vi sarebbe potuta essere, a volerla in effetti trovare, utile potendo essere quella del preavviso di rigetto della domanda di accesso;</w:t>
      </w:r>
      <w:r w:rsidRPr="00694329">
        <w:rPr>
          <w:rFonts w:ascii="Tahoma" w:hAnsi="Tahoma" w:cs="Tahoma"/>
        </w:rPr>
        <w:br/>
        <w:t xml:space="preserve">c) terza motivazione del differimento: violazione per falsa applicazione dell’art. 24, co. 1 e 6, della </w:t>
      </w:r>
      <w:proofErr w:type="spellStart"/>
      <w:r w:rsidRPr="00694329">
        <w:rPr>
          <w:rFonts w:ascii="Tahoma" w:hAnsi="Tahoma" w:cs="Tahoma"/>
        </w:rPr>
        <w:t>l.n</w:t>
      </w:r>
      <w:proofErr w:type="spellEnd"/>
      <w:r w:rsidRPr="00694329">
        <w:rPr>
          <w:rFonts w:ascii="Tahoma" w:hAnsi="Tahoma" w:cs="Tahoma"/>
        </w:rPr>
        <w:t>. 241/1990. Eccesso di potere per contraddittorietà della motivazione.</w:t>
      </w:r>
      <w:r w:rsidRPr="00694329">
        <w:rPr>
          <w:rFonts w:ascii="Tahoma" w:hAnsi="Tahoma" w:cs="Tahoma"/>
        </w:rPr>
        <w:br/>
        <w:t xml:space="preserve">Neppure valeva opporre esigenze di riservatezza proprie di </w:t>
      </w:r>
      <w:proofErr w:type="spellStart"/>
      <w:r w:rsidRPr="00694329">
        <w:rPr>
          <w:rFonts w:ascii="Tahoma" w:hAnsi="Tahoma" w:cs="Tahoma"/>
        </w:rPr>
        <w:t>Consob</w:t>
      </w:r>
      <w:proofErr w:type="spellEnd"/>
      <w:r w:rsidRPr="00694329">
        <w:rPr>
          <w:rFonts w:ascii="Tahoma" w:hAnsi="Tahoma" w:cs="Tahoma"/>
        </w:rPr>
        <w:t>, perché, ove esse operano ostativamente rispetto all’accesso in modo legittimo, le stesse sono previste dalla legge o da un regolamento emanato in base alla legge. E la riservatezza opposta non rientra fra quelli previsti da tali fonti.</w:t>
      </w:r>
      <w:r w:rsidRPr="00694329">
        <w:rPr>
          <w:rFonts w:ascii="Tahoma" w:hAnsi="Tahoma" w:cs="Tahoma"/>
        </w:rPr>
        <w:br/>
        <w:t>Comunque, chi acquisisce dati riservati, anche tramite accesso, è sottoposto dall’ordinamento a vincoli a fini di loro protezione non minori di chi produce o detiene originariamente quei dati;</w:t>
      </w:r>
      <w:r w:rsidRPr="00694329">
        <w:rPr>
          <w:rFonts w:ascii="Tahoma" w:hAnsi="Tahoma" w:cs="Tahoma"/>
        </w:rPr>
        <w:br/>
        <w:t xml:space="preserve">d) quarta motivazione del differimento: violazione per mancata applicazione degli artt. 3 e 25, co. 3, della </w:t>
      </w:r>
      <w:proofErr w:type="spellStart"/>
      <w:r w:rsidRPr="00694329">
        <w:rPr>
          <w:rFonts w:ascii="Tahoma" w:hAnsi="Tahoma" w:cs="Tahoma"/>
        </w:rPr>
        <w:t>l.n</w:t>
      </w:r>
      <w:proofErr w:type="spellEnd"/>
      <w:r w:rsidRPr="00694329">
        <w:rPr>
          <w:rFonts w:ascii="Tahoma" w:hAnsi="Tahoma" w:cs="Tahoma"/>
        </w:rPr>
        <w:t xml:space="preserve">. 241/1990 e dell'art. 9, co. 2, del </w:t>
      </w:r>
      <w:proofErr w:type="spellStart"/>
      <w:r w:rsidRPr="00694329">
        <w:rPr>
          <w:rFonts w:ascii="Tahoma" w:hAnsi="Tahoma" w:cs="Tahoma"/>
        </w:rPr>
        <w:t>d.P.R.</w:t>
      </w:r>
      <w:proofErr w:type="spellEnd"/>
      <w:r w:rsidRPr="00694329">
        <w:rPr>
          <w:rFonts w:ascii="Tahoma" w:hAnsi="Tahoma" w:cs="Tahoma"/>
        </w:rPr>
        <w:t xml:space="preserve"> n. 184/2006. Eccesso di potere per sviamento.</w:t>
      </w:r>
      <w:r w:rsidRPr="00694329">
        <w:rPr>
          <w:rFonts w:ascii="Tahoma" w:hAnsi="Tahoma" w:cs="Tahoma"/>
        </w:rPr>
        <w:br/>
        <w:t xml:space="preserve">Per come si sono svolti i fatti, neppure tiene l’argomento della </w:t>
      </w:r>
      <w:proofErr w:type="spellStart"/>
      <w:r w:rsidRPr="00694329">
        <w:rPr>
          <w:rFonts w:ascii="Tahoma" w:hAnsi="Tahoma" w:cs="Tahoma"/>
        </w:rPr>
        <w:t>Consob</w:t>
      </w:r>
      <w:proofErr w:type="spellEnd"/>
      <w:r w:rsidRPr="00694329">
        <w:rPr>
          <w:rFonts w:ascii="Tahoma" w:hAnsi="Tahoma" w:cs="Tahoma"/>
        </w:rPr>
        <w:t xml:space="preserve"> secondo il quale l’organizzazione della mole dei dati che si sarebbero dovuti </w:t>
      </w:r>
      <w:proofErr w:type="spellStart"/>
      <w:r w:rsidRPr="00694329">
        <w:rPr>
          <w:rFonts w:ascii="Tahoma" w:hAnsi="Tahoma" w:cs="Tahoma"/>
        </w:rPr>
        <w:t>ostendere</w:t>
      </w:r>
      <w:proofErr w:type="spellEnd"/>
      <w:r w:rsidRPr="00694329">
        <w:rPr>
          <w:rFonts w:ascii="Tahoma" w:hAnsi="Tahoma" w:cs="Tahoma"/>
        </w:rPr>
        <w:t xml:space="preserve"> non si conciliava con i tempi stretti della procedura di rialzo del prezzo;</w:t>
      </w:r>
      <w:r w:rsidRPr="00694329">
        <w:rPr>
          <w:rFonts w:ascii="Tahoma" w:hAnsi="Tahoma" w:cs="Tahoma"/>
        </w:rPr>
        <w:br/>
        <w:t>e) violazione degli artt. 24, 111 e 113 della Costituzione - violazione dell'art. 6 CEDU, nell’ambito della quale la parte si diffonde sul proprio legittimo interesse a tutelarsi sia in sede di procedimento di rialzo del prezzo sia in altre sedi;</w:t>
      </w:r>
      <w:r w:rsidRPr="00694329">
        <w:rPr>
          <w:rFonts w:ascii="Tahoma" w:hAnsi="Tahoma" w:cs="Tahoma"/>
        </w:rPr>
        <w:br/>
        <w:t xml:space="preserve">f) primo motivo aggiunto: eccesso di potere per contraddittorietà ed irragionevolezza, per avere la </w:t>
      </w:r>
      <w:proofErr w:type="spellStart"/>
      <w:r w:rsidRPr="00694329">
        <w:rPr>
          <w:rFonts w:ascii="Tahoma" w:hAnsi="Tahoma" w:cs="Tahoma"/>
        </w:rPr>
        <w:t>Consob</w:t>
      </w:r>
      <w:proofErr w:type="spellEnd"/>
      <w:r w:rsidRPr="00694329">
        <w:rPr>
          <w:rFonts w:ascii="Tahoma" w:hAnsi="Tahoma" w:cs="Tahoma"/>
        </w:rPr>
        <w:t>, col provvedimento di differimento, prima assentito all’accesso – solo differendone nel tempo l’attuazione – e poi negato lo stesso, per di più giustificandolo con lo stesso argomento che spiegava il differimento;</w:t>
      </w:r>
      <w:r w:rsidRPr="00694329">
        <w:rPr>
          <w:rFonts w:ascii="Tahoma" w:hAnsi="Tahoma" w:cs="Tahoma"/>
        </w:rPr>
        <w:br/>
        <w:t xml:space="preserve">g) secondo motivo aggiunto: eccesso di potere per sviamento - violazione degli artt. 6 e 17 CEDU - violazione del principio della parità delle parti ai sensi dell'art. 11, co. 1, </w:t>
      </w:r>
      <w:proofErr w:type="spellStart"/>
      <w:r w:rsidRPr="00694329">
        <w:rPr>
          <w:rFonts w:ascii="Tahoma" w:hAnsi="Tahoma" w:cs="Tahoma"/>
        </w:rPr>
        <w:t>Cost</w:t>
      </w:r>
      <w:proofErr w:type="spellEnd"/>
      <w:r w:rsidRPr="00694329">
        <w:rPr>
          <w:rFonts w:ascii="Tahoma" w:hAnsi="Tahoma" w:cs="Tahoma"/>
        </w:rPr>
        <w:t xml:space="preserve">. e art. 2 </w:t>
      </w:r>
      <w:proofErr w:type="spellStart"/>
      <w:r w:rsidRPr="00694329">
        <w:rPr>
          <w:rFonts w:ascii="Tahoma" w:hAnsi="Tahoma" w:cs="Tahoma"/>
        </w:rPr>
        <w:t>c.p.a</w:t>
      </w:r>
      <w:proofErr w:type="spellEnd"/>
      <w:r w:rsidRPr="00694329">
        <w:rPr>
          <w:rFonts w:ascii="Tahoma" w:hAnsi="Tahoma" w:cs="Tahoma"/>
        </w:rPr>
        <w:t xml:space="preserve">. – violazione dell'art. 97, co. 2, della Costituzione - violazione degli artt. 3 e 12 del </w:t>
      </w:r>
      <w:proofErr w:type="spellStart"/>
      <w:r w:rsidRPr="00694329">
        <w:rPr>
          <w:rFonts w:ascii="Tahoma" w:hAnsi="Tahoma" w:cs="Tahoma"/>
        </w:rPr>
        <w:t>d.p.r</w:t>
      </w:r>
      <w:proofErr w:type="spellEnd"/>
      <w:r w:rsidRPr="00694329">
        <w:rPr>
          <w:rFonts w:ascii="Tahoma" w:hAnsi="Tahoma" w:cs="Tahoma"/>
        </w:rPr>
        <w:t xml:space="preserve"> n. 62/2013, </w:t>
      </w:r>
      <w:r w:rsidRPr="00694329">
        <w:rPr>
          <w:rFonts w:ascii="Tahoma" w:hAnsi="Tahoma" w:cs="Tahoma"/>
        </w:rPr>
        <w:lastRenderedPageBreak/>
        <w:t xml:space="preserve">per avere la </w:t>
      </w:r>
      <w:proofErr w:type="spellStart"/>
      <w:r w:rsidRPr="00694329">
        <w:rPr>
          <w:rFonts w:ascii="Tahoma" w:hAnsi="Tahoma" w:cs="Tahoma"/>
        </w:rPr>
        <w:t>Consob</w:t>
      </w:r>
      <w:proofErr w:type="spellEnd"/>
      <w:r w:rsidRPr="00694329">
        <w:rPr>
          <w:rFonts w:ascii="Tahoma" w:hAnsi="Tahoma" w:cs="Tahoma"/>
        </w:rPr>
        <w:t xml:space="preserve"> cambiato idea nel giro di poco (prima assentendo in modo differito e poi negando l’accesso) esclusivamente a causa del fatto che, nel frattempo, </w:t>
      </w:r>
      <w:proofErr w:type="spellStart"/>
      <w:r w:rsidRPr="00694329">
        <w:rPr>
          <w:rFonts w:ascii="Tahoma" w:hAnsi="Tahoma" w:cs="Tahoma"/>
        </w:rPr>
        <w:t>Bluebell</w:t>
      </w:r>
      <w:proofErr w:type="spellEnd"/>
      <w:r w:rsidRPr="00694329">
        <w:rPr>
          <w:rFonts w:ascii="Tahoma" w:hAnsi="Tahoma" w:cs="Tahoma"/>
        </w:rPr>
        <w:t xml:space="preserve"> era diventata sua controparte processuale relativamente all’atto di chiusura del procedimento di rialzo del prezzo. Il motivo vero del diniego, perciò, era diverso da quello formalmente espresso. </w:t>
      </w:r>
      <w:proofErr w:type="spellStart"/>
      <w:r w:rsidRPr="00694329">
        <w:rPr>
          <w:rFonts w:ascii="Tahoma" w:hAnsi="Tahoma" w:cs="Tahoma"/>
        </w:rPr>
        <w:t>Consob</w:t>
      </w:r>
      <w:proofErr w:type="spellEnd"/>
      <w:r w:rsidRPr="00694329">
        <w:rPr>
          <w:rFonts w:ascii="Tahoma" w:hAnsi="Tahoma" w:cs="Tahoma"/>
        </w:rPr>
        <w:t xml:space="preserve"> perciò ha abusato del suo potere pubblico solo per evitare conseguenze a se stessa sul piano processuale.</w:t>
      </w:r>
      <w:r w:rsidRPr="00694329">
        <w:rPr>
          <w:rFonts w:ascii="Tahoma" w:hAnsi="Tahoma" w:cs="Tahoma"/>
        </w:rPr>
        <w:br/>
        <w:t>2.1.2. Quanto a B), la parte appella incidentalmente la sentenza di primo grado per avere essa – erroneamente a suo avviso – dichiarato l’improcedibilità del ricorso principale avverso l’atto di differimento, reputandolo un diniego temporaneo in attesa di rivalutazione e non piuttosto un atto di assenso all’accesso ma con esercizio differito nel tempo.</w:t>
      </w:r>
      <w:r w:rsidRPr="00694329">
        <w:rPr>
          <w:rFonts w:ascii="Tahoma" w:hAnsi="Tahoma" w:cs="Tahoma"/>
        </w:rPr>
        <w:br/>
        <w:t>2.1.3. Quanto a C), la parte si dedica poi ad illustrare le ragioni, a suo avviso, di infondatezza dell’appello, essenzialmente quelle legate al principio secondo cui spetta esclusivamente al richiedente l’accesso – non all’Amministrazione che riceve la domanda – stabilire se i documenti pretesi sono pertinenti e rilevanti allo scopo di tutelare i propri interessi.</w:t>
      </w:r>
      <w:r w:rsidRPr="00694329">
        <w:rPr>
          <w:rFonts w:ascii="Tahoma" w:hAnsi="Tahoma" w:cs="Tahoma"/>
        </w:rPr>
        <w:br/>
        <w:t>2.2. L’appello incidentale di HRII si articola in sostanza così:</w:t>
      </w:r>
      <w:r w:rsidRPr="00694329">
        <w:rPr>
          <w:rFonts w:ascii="Tahoma" w:hAnsi="Tahoma" w:cs="Tahoma"/>
        </w:rPr>
        <w:br/>
        <w:t>a) </w:t>
      </w:r>
      <w:proofErr w:type="spellStart"/>
      <w:r w:rsidRPr="00694329">
        <w:rPr>
          <w:rFonts w:ascii="Tahoma" w:hAnsi="Tahoma" w:cs="Tahoma"/>
        </w:rPr>
        <w:t>error</w:t>
      </w:r>
      <w:proofErr w:type="spellEnd"/>
      <w:r w:rsidRPr="00694329">
        <w:rPr>
          <w:rFonts w:ascii="Tahoma" w:hAnsi="Tahoma" w:cs="Tahoma"/>
        </w:rPr>
        <w:t xml:space="preserve"> in iudicando sull’eccezione di inammissibilità del ricorso </w:t>
      </w:r>
      <w:proofErr w:type="spellStart"/>
      <w:r w:rsidRPr="00694329">
        <w:rPr>
          <w:rFonts w:ascii="Tahoma" w:hAnsi="Tahoma" w:cs="Tahoma"/>
        </w:rPr>
        <w:t>Bluebell</w:t>
      </w:r>
      <w:proofErr w:type="spellEnd"/>
      <w:r w:rsidRPr="00694329">
        <w:rPr>
          <w:rFonts w:ascii="Tahoma" w:hAnsi="Tahoma" w:cs="Tahoma"/>
        </w:rPr>
        <w:t xml:space="preserve"> per avere il Tar considerato che:</w:t>
      </w:r>
      <w:r w:rsidRPr="00694329">
        <w:rPr>
          <w:rFonts w:ascii="Tahoma" w:hAnsi="Tahoma" w:cs="Tahoma"/>
        </w:rPr>
        <w:br/>
        <w:t xml:space="preserve">- con l’adozione del provvedimento </w:t>
      </w:r>
      <w:proofErr w:type="spellStart"/>
      <w:r w:rsidRPr="00694329">
        <w:rPr>
          <w:rFonts w:ascii="Tahoma" w:hAnsi="Tahoma" w:cs="Tahoma"/>
        </w:rPr>
        <w:t>Consob</w:t>
      </w:r>
      <w:proofErr w:type="spellEnd"/>
      <w:r w:rsidRPr="00694329">
        <w:rPr>
          <w:rFonts w:ascii="Tahoma" w:hAnsi="Tahoma" w:cs="Tahoma"/>
        </w:rPr>
        <w:t xml:space="preserve"> di chiusura del procedimento di rialzo del prezzo, tra l’altro aderendo alla tesi avversaria di un’intesa collusiva e disponendo conseguentemente il rialzo del predetto prezzo, era venuto meno l’interesse dell’avversaria a questionare ancora sull’accesso negato;</w:t>
      </w:r>
      <w:r w:rsidRPr="00694329">
        <w:rPr>
          <w:rFonts w:ascii="Tahoma" w:hAnsi="Tahoma" w:cs="Tahoma"/>
        </w:rPr>
        <w:br/>
        <w:t>- in sede procedimentale la controparte aveva presentato ulteriori osservazioni il 21.12.2015, dopo l'istanza di accesso del 9.12.2015 per cui è causa, dimostrando di avere pienamente esercitato il suo diritto di partecipazione al procedimento;</w:t>
      </w:r>
      <w:r w:rsidRPr="00694329">
        <w:rPr>
          <w:rFonts w:ascii="Tahoma" w:hAnsi="Tahoma" w:cs="Tahoma"/>
        </w:rPr>
        <w:br/>
        <w:t xml:space="preserve">- </w:t>
      </w:r>
      <w:proofErr w:type="spellStart"/>
      <w:r w:rsidRPr="00694329">
        <w:rPr>
          <w:rFonts w:ascii="Tahoma" w:hAnsi="Tahoma" w:cs="Tahoma"/>
        </w:rPr>
        <w:t>Bluebell</w:t>
      </w:r>
      <w:proofErr w:type="spellEnd"/>
      <w:r w:rsidRPr="00694329">
        <w:rPr>
          <w:rFonts w:ascii="Tahoma" w:hAnsi="Tahoma" w:cs="Tahoma"/>
        </w:rPr>
        <w:t xml:space="preserve"> ha proposto ricorso avverso il provvedimento di chiusura de procedimento di rialzo del prezzo, nell'ambito del quale il suo diritto di difesa era stato già pienamente esercitato.</w:t>
      </w:r>
      <w:r w:rsidRPr="00694329">
        <w:rPr>
          <w:rFonts w:ascii="Tahoma" w:hAnsi="Tahoma" w:cs="Tahoma"/>
        </w:rPr>
        <w:br/>
        <w:t>In particolare, nel paragrafo 7 della sentenza il Tar ha ritenuto che i predetti profili di inammissibilità dovessero disattendersi in quanto “</w:t>
      </w:r>
      <w:proofErr w:type="spellStart"/>
      <w:r w:rsidRPr="00694329">
        <w:rPr>
          <w:rFonts w:ascii="Tahoma" w:hAnsi="Tahoma" w:cs="Tahoma"/>
        </w:rPr>
        <w:t>Bluebell</w:t>
      </w:r>
      <w:proofErr w:type="spellEnd"/>
      <w:r w:rsidRPr="00694329">
        <w:rPr>
          <w:rFonts w:ascii="Tahoma" w:hAnsi="Tahoma" w:cs="Tahoma"/>
        </w:rPr>
        <w:t xml:space="preserve"> fa valere una posizione volta a contestare il provvedimento sotto il profilo del quantum”, mentre, a dire del Giudice di primo grado, non risulterebbe provato “che essa non abbia la necessità di accedere alle ulteriori informazioni richieste a questo fine”. L’affermazione però non sarebbe corretta, ad avviso di HRII, </w:t>
      </w:r>
      <w:proofErr w:type="spellStart"/>
      <w:r w:rsidRPr="00694329">
        <w:rPr>
          <w:rFonts w:ascii="Tahoma" w:hAnsi="Tahoma" w:cs="Tahoma"/>
        </w:rPr>
        <w:t>giacchè</w:t>
      </w:r>
      <w:proofErr w:type="spellEnd"/>
      <w:r w:rsidRPr="00694329">
        <w:rPr>
          <w:rFonts w:ascii="Tahoma" w:hAnsi="Tahoma" w:cs="Tahoma"/>
        </w:rPr>
        <w:t xml:space="preserve"> </w:t>
      </w:r>
      <w:proofErr w:type="spellStart"/>
      <w:r w:rsidRPr="00694329">
        <w:rPr>
          <w:rFonts w:ascii="Tahoma" w:hAnsi="Tahoma" w:cs="Tahoma"/>
        </w:rPr>
        <w:t>Bluebell</w:t>
      </w:r>
      <w:proofErr w:type="spellEnd"/>
      <w:r w:rsidRPr="00694329">
        <w:rPr>
          <w:rFonts w:ascii="Tahoma" w:hAnsi="Tahoma" w:cs="Tahoma"/>
        </w:rPr>
        <w:t xml:space="preserve"> ha già pienamente esercitato il suo diritto di difesa soprattutto con riferimento al profilo del quantum, dando prova di possedere tutte le informazioni e i documenti necessari per la tutela della sua posizione (che altrimenti sarebbe stata incardinata solo “al buio”);</w:t>
      </w:r>
      <w:r w:rsidRPr="00694329">
        <w:rPr>
          <w:rFonts w:ascii="Tahoma" w:hAnsi="Tahoma" w:cs="Tahoma"/>
        </w:rPr>
        <w:br/>
        <w:t>b) </w:t>
      </w:r>
      <w:proofErr w:type="spellStart"/>
      <w:r w:rsidRPr="00694329">
        <w:rPr>
          <w:rFonts w:ascii="Tahoma" w:hAnsi="Tahoma" w:cs="Tahoma"/>
        </w:rPr>
        <w:t>error</w:t>
      </w:r>
      <w:proofErr w:type="spellEnd"/>
      <w:r w:rsidRPr="00694329">
        <w:rPr>
          <w:rFonts w:ascii="Tahoma" w:hAnsi="Tahoma" w:cs="Tahoma"/>
        </w:rPr>
        <w:t xml:space="preserve"> in iudicando sull’eccezione di improcedibilità del ricorso, per non avere il Tar considerato che </w:t>
      </w:r>
      <w:proofErr w:type="spellStart"/>
      <w:r w:rsidRPr="00694329">
        <w:rPr>
          <w:rFonts w:ascii="Tahoma" w:hAnsi="Tahoma" w:cs="Tahoma"/>
        </w:rPr>
        <w:t>Bluebell</w:t>
      </w:r>
      <w:proofErr w:type="spellEnd"/>
      <w:r w:rsidRPr="00694329">
        <w:rPr>
          <w:rFonts w:ascii="Tahoma" w:hAnsi="Tahoma" w:cs="Tahoma"/>
        </w:rPr>
        <w:t xml:space="preserve"> non aveva aderito all'OPA e pertanto il suo ricorso avverso la chiusura del procedimento di rialzo del prezzo – successivo all’OPA – era a sua volta improcedibile per carenza di interesse, non potendo </w:t>
      </w:r>
      <w:proofErr w:type="spellStart"/>
      <w:r w:rsidRPr="00694329">
        <w:rPr>
          <w:rFonts w:ascii="Tahoma" w:hAnsi="Tahoma" w:cs="Tahoma"/>
        </w:rPr>
        <w:t>Bluebell</w:t>
      </w:r>
      <w:proofErr w:type="spellEnd"/>
      <w:r w:rsidRPr="00694329">
        <w:rPr>
          <w:rFonts w:ascii="Tahoma" w:hAnsi="Tahoma" w:cs="Tahoma"/>
        </w:rPr>
        <w:t xml:space="preserve"> ricevere alcun effetto utile dall'azione instaurata. Invero, il presupposto giuridico perché gli azionisti possano conseguire, dopo la chiusura dell'OPA, il vantaggio di un eventuale rialzo del prezzo delle azioni è proprio quello dell'adesione all'OPA, mediante cessione delle azioni stesse all'offerente entro i termini di relativa chiusura.</w:t>
      </w:r>
      <w:r w:rsidRPr="00694329">
        <w:rPr>
          <w:rFonts w:ascii="Tahoma" w:hAnsi="Tahoma" w:cs="Tahoma"/>
        </w:rPr>
        <w:br/>
        <w:t xml:space="preserve">Se l’accesso, come detto dall’istante, era strumentale al ricorso avverso il provvedimento </w:t>
      </w:r>
      <w:proofErr w:type="spellStart"/>
      <w:r w:rsidRPr="00694329">
        <w:rPr>
          <w:rFonts w:ascii="Tahoma" w:hAnsi="Tahoma" w:cs="Tahoma"/>
        </w:rPr>
        <w:t>Consob</w:t>
      </w:r>
      <w:proofErr w:type="spellEnd"/>
      <w:r w:rsidRPr="00694329">
        <w:rPr>
          <w:rFonts w:ascii="Tahoma" w:hAnsi="Tahoma" w:cs="Tahoma"/>
        </w:rPr>
        <w:t xml:space="preserve"> sul rialzo di prezzo, anche il ricorso in tema di accesso era improcedibile per carenza di interesse.</w:t>
      </w:r>
      <w:r w:rsidRPr="00694329">
        <w:rPr>
          <w:rFonts w:ascii="Tahoma" w:hAnsi="Tahoma" w:cs="Tahoma"/>
        </w:rPr>
        <w:br/>
        <w:t>Ha perciò errato il Giudice di primo grado – oltre a cadere addirittura in contraddizione – nel non cogliere il nesso tra le due parti della vicenda, alla luce di una strumentalità dichiarata proprio dalla ricorrente principale;</w:t>
      </w:r>
      <w:r w:rsidRPr="00694329">
        <w:rPr>
          <w:rFonts w:ascii="Tahoma" w:hAnsi="Tahoma" w:cs="Tahoma"/>
        </w:rPr>
        <w:br/>
        <w:t>c) </w:t>
      </w:r>
      <w:proofErr w:type="spellStart"/>
      <w:r w:rsidRPr="00694329">
        <w:rPr>
          <w:rFonts w:ascii="Tahoma" w:hAnsi="Tahoma" w:cs="Tahoma"/>
        </w:rPr>
        <w:t>error</w:t>
      </w:r>
      <w:proofErr w:type="spellEnd"/>
      <w:r w:rsidRPr="00694329">
        <w:rPr>
          <w:rFonts w:ascii="Tahoma" w:hAnsi="Tahoma" w:cs="Tahoma"/>
        </w:rPr>
        <w:t xml:space="preserve"> in iudicando - violazione dell’art. 24, co. 7, della </w:t>
      </w:r>
      <w:proofErr w:type="spellStart"/>
      <w:r w:rsidRPr="00694329">
        <w:rPr>
          <w:rFonts w:ascii="Tahoma" w:hAnsi="Tahoma" w:cs="Tahoma"/>
        </w:rPr>
        <w:t>l.n</w:t>
      </w:r>
      <w:proofErr w:type="spellEnd"/>
      <w:r w:rsidRPr="00694329">
        <w:rPr>
          <w:rFonts w:ascii="Tahoma" w:hAnsi="Tahoma" w:cs="Tahoma"/>
        </w:rPr>
        <w:t xml:space="preserve">. 241/1990 per avere il Tar, nonostante </w:t>
      </w:r>
      <w:r w:rsidRPr="00694329">
        <w:rPr>
          <w:rFonts w:ascii="Tahoma" w:hAnsi="Tahoma" w:cs="Tahoma"/>
        </w:rPr>
        <w:lastRenderedPageBreak/>
        <w:t xml:space="preserve">il rilievo del fatto che la documentazione chiesta contenesse dati di forte interesse per le </w:t>
      </w:r>
      <w:proofErr w:type="spellStart"/>
      <w:r w:rsidRPr="00694329">
        <w:rPr>
          <w:rFonts w:ascii="Tahoma" w:hAnsi="Tahoma" w:cs="Tahoma"/>
        </w:rPr>
        <w:t>controinteressate</w:t>
      </w:r>
      <w:proofErr w:type="spellEnd"/>
      <w:r w:rsidRPr="00694329">
        <w:rPr>
          <w:rFonts w:ascii="Tahoma" w:hAnsi="Tahoma" w:cs="Tahoma"/>
        </w:rPr>
        <w:t xml:space="preserve"> all’accesso, sostenuto che l’interesse che muoveva </w:t>
      </w:r>
      <w:proofErr w:type="spellStart"/>
      <w:r w:rsidRPr="00694329">
        <w:rPr>
          <w:rFonts w:ascii="Tahoma" w:hAnsi="Tahoma" w:cs="Tahoma"/>
        </w:rPr>
        <w:t>Bluebell</w:t>
      </w:r>
      <w:proofErr w:type="spellEnd"/>
      <w:r w:rsidRPr="00694329">
        <w:rPr>
          <w:rFonts w:ascii="Tahoma" w:hAnsi="Tahoma" w:cs="Tahoma"/>
        </w:rPr>
        <w:t xml:space="preserve"> era proiezione della sua posizione di azionista di minoranza in ipotesi di OPA, senza poi considerare che detta società aveva già avuto accesso a tutta la documentazione depositata da HRII nel procedimento di rialzo del prezzo riguardante il lungo e complesso processo di acquisizione del ramo di azienda Ansaldo Breda e della partecipazione in STS, ivi inclusi i documenti contrattuali. Documentazione prodotta proprio per replicare all’istanza di rialzo del prezzo dell’OPA.</w:t>
      </w:r>
      <w:r w:rsidRPr="00694329">
        <w:rPr>
          <w:rFonts w:ascii="Tahoma" w:hAnsi="Tahoma" w:cs="Tahoma"/>
        </w:rPr>
        <w:br/>
        <w:t xml:space="preserve">Peraltro HRII ha già sottolineato a </w:t>
      </w:r>
      <w:proofErr w:type="spellStart"/>
      <w:r w:rsidRPr="00694329">
        <w:rPr>
          <w:rFonts w:ascii="Tahoma" w:hAnsi="Tahoma" w:cs="Tahoma"/>
        </w:rPr>
        <w:t>Consob</w:t>
      </w:r>
      <w:proofErr w:type="spellEnd"/>
      <w:r w:rsidRPr="00694329">
        <w:rPr>
          <w:rFonts w:ascii="Tahoma" w:hAnsi="Tahoma" w:cs="Tahoma"/>
        </w:rPr>
        <w:t xml:space="preserve"> le esigenze di confidenzialità e riservatezza con riguardo alla documentazione da essa prodotta. Esigenze che vanno in ogni modo tutelate anche perché, a differenza di quanto affermato dal Tar, l'istanza di accesso non si giustifica con effettivi scopi defensionali, bensì con il desiderio conoscitivo dell’operato di HRII e di Finmeccanica.</w:t>
      </w:r>
      <w:r w:rsidRPr="00694329">
        <w:rPr>
          <w:rFonts w:ascii="Tahoma" w:hAnsi="Tahoma" w:cs="Tahoma"/>
        </w:rPr>
        <w:br/>
        <w:t>2.3. L’appello incidentale di Finmeccanica si articola in sostanza così:</w:t>
      </w:r>
      <w:r w:rsidRPr="00694329">
        <w:rPr>
          <w:rFonts w:ascii="Tahoma" w:hAnsi="Tahoma" w:cs="Tahoma"/>
        </w:rPr>
        <w:br/>
        <w:t xml:space="preserve">a) violazione di legge (articoli 295 </w:t>
      </w:r>
      <w:proofErr w:type="spellStart"/>
      <w:r w:rsidRPr="00694329">
        <w:rPr>
          <w:rFonts w:ascii="Tahoma" w:hAnsi="Tahoma" w:cs="Tahoma"/>
        </w:rPr>
        <w:t>c.p.c.</w:t>
      </w:r>
      <w:proofErr w:type="spellEnd"/>
      <w:r w:rsidRPr="00694329">
        <w:rPr>
          <w:rFonts w:ascii="Tahoma" w:hAnsi="Tahoma" w:cs="Tahoma"/>
        </w:rPr>
        <w:t xml:space="preserve"> e 79 </w:t>
      </w:r>
      <w:proofErr w:type="spellStart"/>
      <w:r w:rsidRPr="00694329">
        <w:rPr>
          <w:rFonts w:ascii="Tahoma" w:hAnsi="Tahoma" w:cs="Tahoma"/>
        </w:rPr>
        <w:t>c.p.a</w:t>
      </w:r>
      <w:proofErr w:type="spellEnd"/>
      <w:r w:rsidRPr="00694329">
        <w:rPr>
          <w:rFonts w:ascii="Tahoma" w:hAnsi="Tahoma" w:cs="Tahoma"/>
        </w:rPr>
        <w:t xml:space="preserve">.) - pregiudizialità della decisione della Corte di Giustizia UE sul potere di accertamento di </w:t>
      </w:r>
      <w:proofErr w:type="spellStart"/>
      <w:r w:rsidRPr="00694329">
        <w:rPr>
          <w:rFonts w:ascii="Tahoma" w:hAnsi="Tahoma" w:cs="Tahoma"/>
        </w:rPr>
        <w:t>Consob</w:t>
      </w:r>
      <w:proofErr w:type="spellEnd"/>
      <w:r w:rsidRPr="00694329">
        <w:rPr>
          <w:rFonts w:ascii="Tahoma" w:hAnsi="Tahoma" w:cs="Tahoma"/>
        </w:rPr>
        <w:t xml:space="preserve"> dell'asserita collusione ai fini del rialzo del prezzo dell’OPA - violazione degli artt. 22, co. 1, </w:t>
      </w:r>
      <w:proofErr w:type="spellStart"/>
      <w:r w:rsidRPr="00694329">
        <w:rPr>
          <w:rFonts w:ascii="Tahoma" w:hAnsi="Tahoma" w:cs="Tahoma"/>
        </w:rPr>
        <w:t>lett</w:t>
      </w:r>
      <w:proofErr w:type="spellEnd"/>
      <w:r w:rsidRPr="00694329">
        <w:rPr>
          <w:rFonts w:ascii="Tahoma" w:hAnsi="Tahoma" w:cs="Tahoma"/>
        </w:rPr>
        <w:t xml:space="preserve">. b), e dell'art. 24, co. 1, 6, </w:t>
      </w:r>
      <w:proofErr w:type="spellStart"/>
      <w:r w:rsidRPr="00694329">
        <w:rPr>
          <w:rFonts w:ascii="Tahoma" w:hAnsi="Tahoma" w:cs="Tahoma"/>
        </w:rPr>
        <w:t>lett</w:t>
      </w:r>
      <w:proofErr w:type="spellEnd"/>
      <w:r w:rsidRPr="00694329">
        <w:rPr>
          <w:rFonts w:ascii="Tahoma" w:hAnsi="Tahoma" w:cs="Tahoma"/>
        </w:rPr>
        <w:t xml:space="preserve">. d), e 7 della </w:t>
      </w:r>
      <w:proofErr w:type="spellStart"/>
      <w:r w:rsidRPr="00694329">
        <w:rPr>
          <w:rFonts w:ascii="Tahoma" w:hAnsi="Tahoma" w:cs="Tahoma"/>
        </w:rPr>
        <w:t>l.n</w:t>
      </w:r>
      <w:proofErr w:type="spellEnd"/>
      <w:r w:rsidRPr="00694329">
        <w:rPr>
          <w:rFonts w:ascii="Tahoma" w:hAnsi="Tahoma" w:cs="Tahoma"/>
        </w:rPr>
        <w:t>. 241/1990 e dell’art. 42, co. 10, del TUF - violazione del principio di proporzionalità.</w:t>
      </w:r>
      <w:r w:rsidRPr="00694329">
        <w:rPr>
          <w:rFonts w:ascii="Tahoma" w:hAnsi="Tahoma" w:cs="Tahoma"/>
        </w:rPr>
        <w:br/>
        <w:t xml:space="preserve">L’interesse di </w:t>
      </w:r>
      <w:proofErr w:type="spellStart"/>
      <w:r w:rsidRPr="00694329">
        <w:rPr>
          <w:rFonts w:ascii="Tahoma" w:hAnsi="Tahoma" w:cs="Tahoma"/>
        </w:rPr>
        <w:t>Bluebell</w:t>
      </w:r>
      <w:proofErr w:type="spellEnd"/>
      <w:r w:rsidRPr="00694329">
        <w:rPr>
          <w:rFonts w:ascii="Tahoma" w:hAnsi="Tahoma" w:cs="Tahoma"/>
        </w:rPr>
        <w:t xml:space="preserve"> sta certamente nella coltivazione della domanda di rialzo del prezzo dell’OPA. L’altro suo interesse – quello all’esercizio dell’accesso – è inoltre strumentale al primo, basato com’è sul suo dichiarato carattere defensionale.</w:t>
      </w:r>
      <w:r w:rsidRPr="00694329">
        <w:rPr>
          <w:rFonts w:ascii="Tahoma" w:hAnsi="Tahoma" w:cs="Tahoma"/>
        </w:rPr>
        <w:br/>
        <w:t xml:space="preserve">La domanda di rialzo del prezzo è poi connessa al potere della </w:t>
      </w:r>
      <w:proofErr w:type="spellStart"/>
      <w:r w:rsidRPr="00694329">
        <w:rPr>
          <w:rFonts w:ascii="Tahoma" w:hAnsi="Tahoma" w:cs="Tahoma"/>
        </w:rPr>
        <w:t>Consob</w:t>
      </w:r>
      <w:proofErr w:type="spellEnd"/>
      <w:r w:rsidRPr="00694329">
        <w:rPr>
          <w:rFonts w:ascii="Tahoma" w:hAnsi="Tahoma" w:cs="Tahoma"/>
        </w:rPr>
        <w:t xml:space="preserve"> di poterlo determinare qualora essa accerti un accordo collusivo in vista ed occasione di un’OPA. Ed è stato proprio l’esercizio di tale poter ad aver fatto acquisire dalla </w:t>
      </w:r>
      <w:proofErr w:type="spellStart"/>
      <w:r w:rsidRPr="00694329">
        <w:rPr>
          <w:rFonts w:ascii="Tahoma" w:hAnsi="Tahoma" w:cs="Tahoma"/>
        </w:rPr>
        <w:t>Consob</w:t>
      </w:r>
      <w:proofErr w:type="spellEnd"/>
      <w:r w:rsidRPr="00694329">
        <w:rPr>
          <w:rFonts w:ascii="Tahoma" w:hAnsi="Tahoma" w:cs="Tahoma"/>
        </w:rPr>
        <w:t xml:space="preserve"> tutto il materiale documentale che </w:t>
      </w:r>
      <w:proofErr w:type="spellStart"/>
      <w:r w:rsidRPr="00694329">
        <w:rPr>
          <w:rFonts w:ascii="Tahoma" w:hAnsi="Tahoma" w:cs="Tahoma"/>
        </w:rPr>
        <w:t>Bluebell</w:t>
      </w:r>
      <w:proofErr w:type="spellEnd"/>
      <w:r w:rsidRPr="00694329">
        <w:rPr>
          <w:rFonts w:ascii="Tahoma" w:hAnsi="Tahoma" w:cs="Tahoma"/>
        </w:rPr>
        <w:t xml:space="preserve"> vorrebbe a propria attingere attraverso l’accesso.</w:t>
      </w:r>
      <w:r w:rsidRPr="00694329">
        <w:rPr>
          <w:rFonts w:ascii="Tahoma" w:hAnsi="Tahoma" w:cs="Tahoma"/>
        </w:rPr>
        <w:br/>
        <w:t xml:space="preserve">Tuttavia la legittimità di questo potere di </w:t>
      </w:r>
      <w:proofErr w:type="spellStart"/>
      <w:r w:rsidRPr="00694329">
        <w:rPr>
          <w:rFonts w:ascii="Tahoma" w:hAnsi="Tahoma" w:cs="Tahoma"/>
        </w:rPr>
        <w:t>Consob</w:t>
      </w:r>
      <w:proofErr w:type="spellEnd"/>
      <w:r w:rsidRPr="00694329">
        <w:rPr>
          <w:rFonts w:ascii="Tahoma" w:hAnsi="Tahoma" w:cs="Tahoma"/>
        </w:rPr>
        <w:t xml:space="preserve"> è stata messa in dubbio e la relativa questione sopposta alla CGUE.</w:t>
      </w:r>
      <w:r w:rsidRPr="00694329">
        <w:rPr>
          <w:rFonts w:ascii="Tahoma" w:hAnsi="Tahoma" w:cs="Tahoma"/>
        </w:rPr>
        <w:br/>
        <w:t xml:space="preserve">Qualora il potere fosse riconosciuto come non legittimo, l’acquisizione documentale della </w:t>
      </w:r>
      <w:proofErr w:type="spellStart"/>
      <w:r w:rsidRPr="00694329">
        <w:rPr>
          <w:rFonts w:ascii="Tahoma" w:hAnsi="Tahoma" w:cs="Tahoma"/>
        </w:rPr>
        <w:t>Consob</w:t>
      </w:r>
      <w:proofErr w:type="spellEnd"/>
      <w:r w:rsidRPr="00694329">
        <w:rPr>
          <w:rFonts w:ascii="Tahoma" w:hAnsi="Tahoma" w:cs="Tahoma"/>
        </w:rPr>
        <w:t xml:space="preserve"> risulterebbe sine </w:t>
      </w:r>
      <w:proofErr w:type="spellStart"/>
      <w:r w:rsidRPr="00694329">
        <w:rPr>
          <w:rFonts w:ascii="Tahoma" w:hAnsi="Tahoma" w:cs="Tahoma"/>
        </w:rPr>
        <w:t>titulo</w:t>
      </w:r>
      <w:proofErr w:type="spellEnd"/>
      <w:r w:rsidRPr="00694329">
        <w:rPr>
          <w:rFonts w:ascii="Tahoma" w:hAnsi="Tahoma" w:cs="Tahoma"/>
        </w:rPr>
        <w:t xml:space="preserve"> e tanto meno vi sarebbe la possibilità per </w:t>
      </w:r>
      <w:proofErr w:type="spellStart"/>
      <w:r w:rsidRPr="00694329">
        <w:rPr>
          <w:rFonts w:ascii="Tahoma" w:hAnsi="Tahoma" w:cs="Tahoma"/>
        </w:rPr>
        <w:t>Blebell</w:t>
      </w:r>
      <w:proofErr w:type="spellEnd"/>
      <w:r w:rsidRPr="00694329">
        <w:rPr>
          <w:rFonts w:ascii="Tahoma" w:hAnsi="Tahoma" w:cs="Tahoma"/>
        </w:rPr>
        <w:t xml:space="preserve"> di attingerlo.</w:t>
      </w:r>
      <w:r w:rsidRPr="00694329">
        <w:rPr>
          <w:rFonts w:ascii="Tahoma" w:hAnsi="Tahoma" w:cs="Tahoma"/>
        </w:rPr>
        <w:br/>
        <w:t xml:space="preserve">Ecco perché – ad avviso di parte – il Tar ha sbagliato nel non riconoscere il nesso tra l’accesso, </w:t>
      </w:r>
      <w:proofErr w:type="spellStart"/>
      <w:r w:rsidRPr="00694329">
        <w:rPr>
          <w:rFonts w:ascii="Tahoma" w:hAnsi="Tahoma" w:cs="Tahoma"/>
        </w:rPr>
        <w:t>ancorchè</w:t>
      </w:r>
      <w:proofErr w:type="spellEnd"/>
      <w:r w:rsidRPr="00694329">
        <w:rPr>
          <w:rFonts w:ascii="Tahoma" w:hAnsi="Tahoma" w:cs="Tahoma"/>
        </w:rPr>
        <w:t xml:space="preserve"> a fini defensionali, di </w:t>
      </w:r>
      <w:proofErr w:type="spellStart"/>
      <w:r w:rsidRPr="00694329">
        <w:rPr>
          <w:rFonts w:ascii="Tahoma" w:hAnsi="Tahoma" w:cs="Tahoma"/>
        </w:rPr>
        <w:t>Bluebell</w:t>
      </w:r>
      <w:proofErr w:type="spellEnd"/>
      <w:r w:rsidRPr="00694329">
        <w:rPr>
          <w:rFonts w:ascii="Tahoma" w:hAnsi="Tahoma" w:cs="Tahoma"/>
        </w:rPr>
        <w:t xml:space="preserve"> e le attuali prerogative della </w:t>
      </w:r>
      <w:proofErr w:type="spellStart"/>
      <w:r w:rsidRPr="00694329">
        <w:rPr>
          <w:rFonts w:ascii="Tahoma" w:hAnsi="Tahoma" w:cs="Tahoma"/>
        </w:rPr>
        <w:t>Consob</w:t>
      </w:r>
      <w:proofErr w:type="spellEnd"/>
      <w:r w:rsidRPr="00694329">
        <w:rPr>
          <w:rFonts w:ascii="Tahoma" w:hAnsi="Tahoma" w:cs="Tahoma"/>
        </w:rPr>
        <w:t>, peraltro in dubbio, e conseguentemente nel non sospendere l’attuale giudizio in attesa degli esiti di quello che ha portato all’interpello della Corte comunitaria;</w:t>
      </w:r>
      <w:r w:rsidRPr="00694329">
        <w:rPr>
          <w:rFonts w:ascii="Tahoma" w:hAnsi="Tahoma" w:cs="Tahoma"/>
        </w:rPr>
        <w:br/>
        <w:t xml:space="preserve">b) violazione degli artt. 22, co. 1, </w:t>
      </w:r>
      <w:proofErr w:type="spellStart"/>
      <w:r w:rsidRPr="00694329">
        <w:rPr>
          <w:rFonts w:ascii="Tahoma" w:hAnsi="Tahoma" w:cs="Tahoma"/>
        </w:rPr>
        <w:t>lett</w:t>
      </w:r>
      <w:proofErr w:type="spellEnd"/>
      <w:r w:rsidRPr="00694329">
        <w:rPr>
          <w:rFonts w:ascii="Tahoma" w:hAnsi="Tahoma" w:cs="Tahoma"/>
        </w:rPr>
        <w:t xml:space="preserve">. h), e dell'art. 24, co. 1, della </w:t>
      </w:r>
      <w:proofErr w:type="spellStart"/>
      <w:r w:rsidRPr="00694329">
        <w:rPr>
          <w:rFonts w:ascii="Tahoma" w:hAnsi="Tahoma" w:cs="Tahoma"/>
        </w:rPr>
        <w:t>l.n</w:t>
      </w:r>
      <w:proofErr w:type="spellEnd"/>
      <w:r w:rsidRPr="00694329">
        <w:rPr>
          <w:rFonts w:ascii="Tahoma" w:hAnsi="Tahoma" w:cs="Tahoma"/>
        </w:rPr>
        <w:t>. 241/1990 e dell'art. 42 co. 10, del TUF - legittimità della prima motivazione posta a fondamento del diniego di accesso - erronea valutazione del Tar circa la completa e insindacabile valutazione da parte dell'istante della rilevanza degli atti richiesti a fini defensionali.</w:t>
      </w:r>
      <w:r w:rsidRPr="00694329">
        <w:rPr>
          <w:rFonts w:ascii="Tahoma" w:hAnsi="Tahoma" w:cs="Tahoma"/>
        </w:rPr>
        <w:br/>
        <w:t xml:space="preserve">Ha errato il Tar, ad avviso di parte, nel non riconoscere che </w:t>
      </w:r>
      <w:proofErr w:type="spellStart"/>
      <w:r w:rsidRPr="00694329">
        <w:rPr>
          <w:rFonts w:ascii="Tahoma" w:hAnsi="Tahoma" w:cs="Tahoma"/>
        </w:rPr>
        <w:t>Bluebell</w:t>
      </w:r>
      <w:proofErr w:type="spellEnd"/>
      <w:r w:rsidRPr="00694329">
        <w:rPr>
          <w:rFonts w:ascii="Tahoma" w:hAnsi="Tahoma" w:cs="Tahoma"/>
        </w:rPr>
        <w:t xml:space="preserve"> dovesse comunque comprovare un interesse all’accesso corrispondente ad una sua situazione giuridicamente tutelata e collegata ai documenti dei quali era stato chiesto l’accesso e all’opposto, senza alcun bilanciamento degli interessi in gioco, nell’affermare che tale società fosse indiscriminatamente e unilateralmente arbitra di stabilire se e cosa attingere, mediante l’accesso, presso la </w:t>
      </w:r>
      <w:proofErr w:type="spellStart"/>
      <w:r w:rsidRPr="00694329">
        <w:rPr>
          <w:rFonts w:ascii="Tahoma" w:hAnsi="Tahoma" w:cs="Tahoma"/>
        </w:rPr>
        <w:t>Consob</w:t>
      </w:r>
      <w:proofErr w:type="spellEnd"/>
      <w:r w:rsidRPr="00694329">
        <w:rPr>
          <w:rFonts w:ascii="Tahoma" w:hAnsi="Tahoma" w:cs="Tahoma"/>
        </w:rPr>
        <w:t>.</w:t>
      </w:r>
      <w:r w:rsidRPr="00694329">
        <w:rPr>
          <w:rFonts w:ascii="Tahoma" w:hAnsi="Tahoma" w:cs="Tahoma"/>
        </w:rPr>
        <w:br/>
        <w:t xml:space="preserve">Questa ricostruzione del Giudice di primo grado, tuttavia, vanifica il presupposto dell'accesso, con in più l’evidente contraddizione per cui, se la valutazione di rilevanza di un documento – ai fini della risposta all’accesso – è fatta dalla </w:t>
      </w:r>
      <w:proofErr w:type="spellStart"/>
      <w:r w:rsidRPr="00694329">
        <w:rPr>
          <w:rFonts w:ascii="Tahoma" w:hAnsi="Tahoma" w:cs="Tahoma"/>
        </w:rPr>
        <w:t>Consob</w:t>
      </w:r>
      <w:proofErr w:type="spellEnd"/>
      <w:r w:rsidRPr="00694329">
        <w:rPr>
          <w:rFonts w:ascii="Tahoma" w:hAnsi="Tahoma" w:cs="Tahoma"/>
        </w:rPr>
        <w:t>, essa è sindacabile dal giudice mentre, se la stessa valutazione è fatta dall’istante essa non sarebbe soggetta ad alcun sindacato;</w:t>
      </w:r>
      <w:r w:rsidRPr="00694329">
        <w:rPr>
          <w:rFonts w:ascii="Tahoma" w:hAnsi="Tahoma" w:cs="Tahoma"/>
        </w:rPr>
        <w:br/>
        <w:t xml:space="preserve">c) violazione di legge (art. 24, co. 6, </w:t>
      </w:r>
      <w:proofErr w:type="spellStart"/>
      <w:r w:rsidRPr="00694329">
        <w:rPr>
          <w:rFonts w:ascii="Tahoma" w:hAnsi="Tahoma" w:cs="Tahoma"/>
        </w:rPr>
        <w:t>lett</w:t>
      </w:r>
      <w:proofErr w:type="spellEnd"/>
      <w:r w:rsidRPr="00694329">
        <w:rPr>
          <w:rFonts w:ascii="Tahoma" w:hAnsi="Tahoma" w:cs="Tahoma"/>
        </w:rPr>
        <w:t xml:space="preserve">. d), e 7 della </w:t>
      </w:r>
      <w:proofErr w:type="spellStart"/>
      <w:r w:rsidRPr="00694329">
        <w:rPr>
          <w:rFonts w:ascii="Tahoma" w:hAnsi="Tahoma" w:cs="Tahoma"/>
        </w:rPr>
        <w:t>l.n</w:t>
      </w:r>
      <w:proofErr w:type="spellEnd"/>
      <w:r w:rsidRPr="00694329">
        <w:rPr>
          <w:rFonts w:ascii="Tahoma" w:hAnsi="Tahoma" w:cs="Tahoma"/>
        </w:rPr>
        <w:t xml:space="preserve">. 241/1990 - art. 53 del d.lgs. n. 50/2016 - erronea valutazione dell'insussistenza di limiti all'accesso a tutela della riservatezza d'impresa - </w:t>
      </w:r>
      <w:r w:rsidRPr="00694329">
        <w:rPr>
          <w:rFonts w:ascii="Tahoma" w:hAnsi="Tahoma" w:cs="Tahoma"/>
        </w:rPr>
        <w:lastRenderedPageBreak/>
        <w:t>erronea qualificazione dell'accesso difensivo - erronea interpretazione e applicazione della rilevante giurisprudenza della Corte costituzionale - legittimità della seconda motivazione posta a fondamento del diniego di accesso.</w:t>
      </w:r>
      <w:r w:rsidRPr="00694329">
        <w:rPr>
          <w:rFonts w:ascii="Tahoma" w:hAnsi="Tahoma" w:cs="Tahoma"/>
        </w:rPr>
        <w:br/>
        <w:t xml:space="preserve">Il Tar giunge alla conclusione della prevalenza del diritto all’accesso su quella del diritto dei terzi alla riservatezza sui dati contenuti nei documenti chiesti attraverso una valutazione della collocazione sistematica, in seno alla </w:t>
      </w:r>
      <w:proofErr w:type="spellStart"/>
      <w:r w:rsidRPr="00694329">
        <w:rPr>
          <w:rFonts w:ascii="Tahoma" w:hAnsi="Tahoma" w:cs="Tahoma"/>
        </w:rPr>
        <w:t>l.n</w:t>
      </w:r>
      <w:proofErr w:type="spellEnd"/>
      <w:r w:rsidRPr="00694329">
        <w:rPr>
          <w:rFonts w:ascii="Tahoma" w:hAnsi="Tahoma" w:cs="Tahoma"/>
        </w:rPr>
        <w:t>. 241, della norma che postula l’accesso c.d. defensionale, successiva alle disposizioni sui casi di esclusione del diritto di accesso. Ne trae il fatto che, dunque, tale tipo di accesso deroga ai casi di esclusione indicati prima. A conferma, il Tar cita la norma del codice dei contratti pubblici che tratta dell’accesso del concorrente ai fini della difesa in giudizio dei propri interessi in relazione alla procedura di affidamento di un contratto.</w:t>
      </w:r>
      <w:r w:rsidRPr="00694329">
        <w:rPr>
          <w:rFonts w:ascii="Tahoma" w:hAnsi="Tahoma" w:cs="Tahoma"/>
        </w:rPr>
        <w:br/>
        <w:t>Così, però, il Tar ha dilatato eccessivamente la portata dell’accesso c.d. defensionale rispetto alla giustificazione della sua genesi e della sua obiettiva funzione, addirittura traendo, per questo, spunti da una fattispecie normativa che non calza al caso in oggetto perché, nelle gare, le offerte dei concorrenti sono per loro natura destinate ab origine ad un confronto comparativo;</w:t>
      </w:r>
      <w:r w:rsidRPr="00694329">
        <w:rPr>
          <w:rFonts w:ascii="Tahoma" w:hAnsi="Tahoma" w:cs="Tahoma"/>
        </w:rPr>
        <w:br/>
        <w:t xml:space="preserve">d) violazione e falsa applicazione dell'art. 24, co. 1 e 7, della </w:t>
      </w:r>
      <w:proofErr w:type="spellStart"/>
      <w:r w:rsidRPr="00694329">
        <w:rPr>
          <w:rFonts w:ascii="Tahoma" w:hAnsi="Tahoma" w:cs="Tahoma"/>
        </w:rPr>
        <w:t>l.n</w:t>
      </w:r>
      <w:proofErr w:type="spellEnd"/>
      <w:r w:rsidRPr="00694329">
        <w:rPr>
          <w:rFonts w:ascii="Tahoma" w:hAnsi="Tahoma" w:cs="Tahoma"/>
        </w:rPr>
        <w:t xml:space="preserve">. 241/1990, dell'art. 4, co.10, del TUF, nell'interpretazione datane dalla Corte Costituzionale (sentenze n. 460/2000 e n. 32/2005), nonché dell'art. 24 della </w:t>
      </w:r>
      <w:proofErr w:type="spellStart"/>
      <w:r w:rsidRPr="00694329">
        <w:rPr>
          <w:rFonts w:ascii="Tahoma" w:hAnsi="Tahoma" w:cs="Tahoma"/>
        </w:rPr>
        <w:t>l.n</w:t>
      </w:r>
      <w:proofErr w:type="spellEnd"/>
      <w:r w:rsidRPr="00694329">
        <w:rPr>
          <w:rFonts w:ascii="Tahoma" w:hAnsi="Tahoma" w:cs="Tahoma"/>
        </w:rPr>
        <w:t xml:space="preserve">. 262/2005 - legittimità del diniego di accesso per sussistenza del segreto d’ufficio sugli atti di vigilanza della </w:t>
      </w:r>
      <w:proofErr w:type="spellStart"/>
      <w:r w:rsidRPr="00694329">
        <w:rPr>
          <w:rFonts w:ascii="Tahoma" w:hAnsi="Tahoma" w:cs="Tahoma"/>
        </w:rPr>
        <w:t>Consob</w:t>
      </w:r>
      <w:proofErr w:type="spellEnd"/>
      <w:r w:rsidRPr="00694329">
        <w:rPr>
          <w:rFonts w:ascii="Tahoma" w:hAnsi="Tahoma" w:cs="Tahoma"/>
        </w:rPr>
        <w:t>.</w:t>
      </w:r>
      <w:r w:rsidRPr="00694329">
        <w:rPr>
          <w:rFonts w:ascii="Tahoma" w:hAnsi="Tahoma" w:cs="Tahoma"/>
        </w:rPr>
        <w:br/>
        <w:t xml:space="preserve">Erroneo, infine, risulta anche il diniego della vigenza dell'obbligo del segreto d'ufficio gravante sugli uffici della </w:t>
      </w:r>
      <w:proofErr w:type="spellStart"/>
      <w:r w:rsidRPr="00694329">
        <w:rPr>
          <w:rFonts w:ascii="Tahoma" w:hAnsi="Tahoma" w:cs="Tahoma"/>
        </w:rPr>
        <w:t>Consob</w:t>
      </w:r>
      <w:proofErr w:type="spellEnd"/>
      <w:r w:rsidRPr="00694329">
        <w:rPr>
          <w:rFonts w:ascii="Tahoma" w:hAnsi="Tahoma" w:cs="Tahoma"/>
        </w:rPr>
        <w:t xml:space="preserve"> e il richiamo alla giurisprudenza della Corte costituzionale la quale, non a caso, ha riguardo le sanzioni disciplinari, che presuppongono un rapporto di soggezione specifico al potere della </w:t>
      </w:r>
      <w:proofErr w:type="spellStart"/>
      <w:r w:rsidRPr="00694329">
        <w:rPr>
          <w:rFonts w:ascii="Tahoma" w:hAnsi="Tahoma" w:cs="Tahoma"/>
        </w:rPr>
        <w:t>Consob</w:t>
      </w:r>
      <w:proofErr w:type="spellEnd"/>
      <w:r w:rsidRPr="00694329">
        <w:rPr>
          <w:rFonts w:ascii="Tahoma" w:hAnsi="Tahoma" w:cs="Tahoma"/>
        </w:rPr>
        <w:t>.</w:t>
      </w:r>
      <w:r w:rsidRPr="00694329">
        <w:rPr>
          <w:rFonts w:ascii="Tahoma" w:hAnsi="Tahoma" w:cs="Tahoma"/>
        </w:rPr>
        <w:br/>
        <w:t>Per vero, l’accostamento dei procedimenti sanzionatori ai procedimenti contenziosi, intesi questi come procedimenti diretti ad assicurare la presa in considerazione “paritetica” di posizioni contrapposte, finisce per snaturare la previsione della norma sul segreto d'ufficio e la sua finalità, dilatando indebitamente i postulati della giurisprudenza della Corte Costituzionale.</w:t>
      </w:r>
      <w:r w:rsidRPr="00694329">
        <w:rPr>
          <w:rFonts w:ascii="Tahoma" w:hAnsi="Tahoma" w:cs="Tahoma"/>
        </w:rPr>
        <w:br/>
        <w:t xml:space="preserve">3. </w:t>
      </w:r>
      <w:proofErr w:type="spellStart"/>
      <w:r w:rsidRPr="00694329">
        <w:rPr>
          <w:rFonts w:ascii="Tahoma" w:hAnsi="Tahoma" w:cs="Tahoma"/>
        </w:rPr>
        <w:t>Consob</w:t>
      </w:r>
      <w:proofErr w:type="spellEnd"/>
      <w:r w:rsidRPr="00694329">
        <w:rPr>
          <w:rFonts w:ascii="Tahoma" w:hAnsi="Tahoma" w:cs="Tahoma"/>
        </w:rPr>
        <w:t xml:space="preserve"> e Finmeccanica hanno prodotto memorie in data 7.11.2016, riepilogando le loro difese e precisando che il nuovo giudizio di primo grado introdotto da </w:t>
      </w:r>
      <w:proofErr w:type="spellStart"/>
      <w:r w:rsidRPr="00694329">
        <w:rPr>
          <w:rFonts w:ascii="Tahoma" w:hAnsi="Tahoma" w:cs="Tahoma"/>
        </w:rPr>
        <w:t>Bluebell</w:t>
      </w:r>
      <w:proofErr w:type="spellEnd"/>
      <w:r w:rsidRPr="00694329">
        <w:rPr>
          <w:rFonts w:ascii="Tahoma" w:hAnsi="Tahoma" w:cs="Tahoma"/>
        </w:rPr>
        <w:t xml:space="preserve"> avverso il contestato provvedimento di chiusura del procedimento di rialzo del prezzo era ormai in fase di decisione innanzi al Tar del Lazio.</w:t>
      </w:r>
      <w:r w:rsidRPr="00694329">
        <w:rPr>
          <w:rFonts w:ascii="Tahoma" w:hAnsi="Tahoma" w:cs="Tahoma"/>
        </w:rPr>
        <w:br/>
      </w:r>
      <w:proofErr w:type="spellStart"/>
      <w:r w:rsidRPr="00694329">
        <w:rPr>
          <w:rFonts w:ascii="Tahoma" w:hAnsi="Tahoma" w:cs="Tahoma"/>
        </w:rPr>
        <w:t>Bluebell</w:t>
      </w:r>
      <w:proofErr w:type="spellEnd"/>
      <w:r w:rsidRPr="00694329">
        <w:rPr>
          <w:rFonts w:ascii="Tahoma" w:hAnsi="Tahoma" w:cs="Tahoma"/>
        </w:rPr>
        <w:t xml:space="preserve"> ha prodotto memoria l’8.11.2016 riepilogando le difese ed eccependo altresì l’inammissibilità, in particolare, della domanda cautelare della </w:t>
      </w:r>
      <w:proofErr w:type="spellStart"/>
      <w:r w:rsidRPr="00694329">
        <w:rPr>
          <w:rFonts w:ascii="Tahoma" w:hAnsi="Tahoma" w:cs="Tahoma"/>
        </w:rPr>
        <w:t>Consob</w:t>
      </w:r>
      <w:proofErr w:type="spellEnd"/>
      <w:r w:rsidRPr="00694329">
        <w:rPr>
          <w:rFonts w:ascii="Tahoma" w:hAnsi="Tahoma" w:cs="Tahoma"/>
        </w:rPr>
        <w:t xml:space="preserve"> volta alla sospensione degli effetti della sentenza impugnata</w:t>
      </w:r>
      <w:r w:rsidRPr="00694329">
        <w:rPr>
          <w:rFonts w:ascii="Tahoma" w:hAnsi="Tahoma" w:cs="Tahoma"/>
        </w:rPr>
        <w:br/>
        <w:t>4. La causa è stata quindi chiamata una prima volta alla camera di consiglio del 10.11.2016 ed ivi trattenuta in decisione.</w:t>
      </w:r>
      <w:r w:rsidRPr="00694329">
        <w:rPr>
          <w:rFonts w:ascii="Tahoma" w:hAnsi="Tahoma" w:cs="Tahoma"/>
        </w:rPr>
        <w:br/>
        <w:t>All’esito, con ordinanza n. 5116/2016, pubblicata il 16.11.2016, la Sezione ha sospeso gli effetti della sentenza impugnata nell’attesa della celebrazione dell’udienza di merito.</w:t>
      </w:r>
      <w:r w:rsidRPr="00694329">
        <w:rPr>
          <w:rFonts w:ascii="Tahoma" w:hAnsi="Tahoma" w:cs="Tahoma"/>
        </w:rPr>
        <w:br/>
        <w:t>5. Successivamente le parti hanno depositato, tutte in data 21.2.2017, memorie riepilogative delle rispettive difese, in particolare:</w:t>
      </w:r>
      <w:r w:rsidRPr="00694329">
        <w:rPr>
          <w:rFonts w:ascii="Tahoma" w:hAnsi="Tahoma" w:cs="Tahoma"/>
        </w:rPr>
        <w:br/>
        <w:t xml:space="preserve">- </w:t>
      </w:r>
      <w:proofErr w:type="spellStart"/>
      <w:r w:rsidRPr="00694329">
        <w:rPr>
          <w:rFonts w:ascii="Tahoma" w:hAnsi="Tahoma" w:cs="Tahoma"/>
        </w:rPr>
        <w:t>Consob</w:t>
      </w:r>
      <w:proofErr w:type="spellEnd"/>
      <w:r w:rsidRPr="00694329">
        <w:rPr>
          <w:rFonts w:ascii="Tahoma" w:hAnsi="Tahoma" w:cs="Tahoma"/>
        </w:rPr>
        <w:t xml:space="preserve"> segnalando che </w:t>
      </w:r>
      <w:proofErr w:type="spellStart"/>
      <w:r w:rsidRPr="00694329">
        <w:rPr>
          <w:rFonts w:ascii="Tahoma" w:hAnsi="Tahoma" w:cs="Tahoma"/>
        </w:rPr>
        <w:t>Bluebell</w:t>
      </w:r>
      <w:proofErr w:type="spellEnd"/>
      <w:r w:rsidRPr="00694329">
        <w:rPr>
          <w:rFonts w:ascii="Tahoma" w:hAnsi="Tahoma" w:cs="Tahoma"/>
        </w:rPr>
        <w:t>, nella pendenza di questo giudizio, aveva già impugnato innanzi al Tar Lazio la propria delibera n. 19507 del 3.2.2016 di rettifica in aumento del prezzo dell’OPA;</w:t>
      </w:r>
      <w:r w:rsidRPr="00694329">
        <w:rPr>
          <w:rFonts w:ascii="Tahoma" w:hAnsi="Tahoma" w:cs="Tahoma"/>
        </w:rPr>
        <w:br/>
        <w:t xml:space="preserve">- </w:t>
      </w:r>
      <w:proofErr w:type="spellStart"/>
      <w:r w:rsidRPr="00694329">
        <w:rPr>
          <w:rFonts w:ascii="Tahoma" w:hAnsi="Tahoma" w:cs="Tahoma"/>
        </w:rPr>
        <w:t>Bluebell</w:t>
      </w:r>
      <w:proofErr w:type="spellEnd"/>
      <w:r w:rsidRPr="00694329">
        <w:rPr>
          <w:rFonts w:ascii="Tahoma" w:hAnsi="Tahoma" w:cs="Tahoma"/>
        </w:rPr>
        <w:t xml:space="preserve"> segnalando che:</w:t>
      </w:r>
      <w:r w:rsidRPr="00694329">
        <w:rPr>
          <w:rFonts w:ascii="Tahoma" w:hAnsi="Tahoma" w:cs="Tahoma"/>
        </w:rPr>
        <w:br/>
        <w:t xml:space="preserve">-- il Tar Lazio, così nuovamente </w:t>
      </w:r>
      <w:proofErr w:type="spellStart"/>
      <w:r w:rsidRPr="00694329">
        <w:rPr>
          <w:rFonts w:ascii="Tahoma" w:hAnsi="Tahoma" w:cs="Tahoma"/>
        </w:rPr>
        <w:t>adìto</w:t>
      </w:r>
      <w:proofErr w:type="spellEnd"/>
      <w:r w:rsidRPr="00694329">
        <w:rPr>
          <w:rFonts w:ascii="Tahoma" w:hAnsi="Tahoma" w:cs="Tahoma"/>
        </w:rPr>
        <w:t xml:space="preserve">, aveva nel frattempo, con ordinanza n. 11443/2016, pubblicata il 16.11.2016, altresì rimesso alla Corte dell’Unione il quesito pregiudiziale sul se ostasse alla corretta applicazione dell'art. 5, par. 4, co. 1 e 2, della Direttiva 2004/25/CE del Parlamento europeo e del Consiglio del 21 aprile 2004, concernente le offerte pubbliche di acquisto, una </w:t>
      </w:r>
      <w:r w:rsidRPr="00694329">
        <w:rPr>
          <w:rFonts w:ascii="Tahoma" w:hAnsi="Tahoma" w:cs="Tahoma"/>
        </w:rPr>
        <w:lastRenderedPageBreak/>
        <w:t xml:space="preserve">normativa, quale quella nazionale, che, nell’autorizzare la </w:t>
      </w:r>
      <w:proofErr w:type="spellStart"/>
      <w:r w:rsidRPr="00694329">
        <w:rPr>
          <w:rFonts w:ascii="Tahoma" w:hAnsi="Tahoma" w:cs="Tahoma"/>
        </w:rPr>
        <w:t>Consob</w:t>
      </w:r>
      <w:proofErr w:type="spellEnd"/>
      <w:r w:rsidRPr="00694329">
        <w:rPr>
          <w:rFonts w:ascii="Tahoma" w:hAnsi="Tahoma" w:cs="Tahoma"/>
        </w:rPr>
        <w:t xml:space="preserve"> ad aumentare il prezzo dell’OPA a fronte dell'accertamento della collusione tra offerente, o le persone che agiscono di concerto con il medesimo, e uno o più venditori, si limita a far riferimento al criterio del “prezzo accertato” senza specificare i parametri e i criteri di tale accertamento;</w:t>
      </w:r>
      <w:r w:rsidRPr="00694329">
        <w:rPr>
          <w:rFonts w:ascii="Tahoma" w:hAnsi="Tahoma" w:cs="Tahoma"/>
        </w:rPr>
        <w:br/>
        <w:t xml:space="preserve">-- conseguentemente il proprio accesso, esercitato a fini difensivi e negato dalla </w:t>
      </w:r>
      <w:proofErr w:type="spellStart"/>
      <w:r w:rsidRPr="00694329">
        <w:rPr>
          <w:rFonts w:ascii="Tahoma" w:hAnsi="Tahoma" w:cs="Tahoma"/>
        </w:rPr>
        <w:t>Consob</w:t>
      </w:r>
      <w:proofErr w:type="spellEnd"/>
      <w:r w:rsidRPr="00694329">
        <w:rPr>
          <w:rFonts w:ascii="Tahoma" w:hAnsi="Tahoma" w:cs="Tahoma"/>
        </w:rPr>
        <w:t>, le sarebbe valso a meglio tutelarsi non soltanto innanzi al Tar capitolino ma anche davanti alla predetta Corte;</w:t>
      </w:r>
      <w:r w:rsidRPr="00694329">
        <w:rPr>
          <w:rFonts w:ascii="Tahoma" w:hAnsi="Tahoma" w:cs="Tahoma"/>
        </w:rPr>
        <w:br/>
        <w:t xml:space="preserve">- Finmeccanica e HRII sottolineando nuovamente i profili di ritenuta, elevata riservatezza della documentazione </w:t>
      </w:r>
      <w:proofErr w:type="spellStart"/>
      <w:r w:rsidRPr="00694329">
        <w:rPr>
          <w:rFonts w:ascii="Tahoma" w:hAnsi="Tahoma" w:cs="Tahoma"/>
        </w:rPr>
        <w:t>ambìta</w:t>
      </w:r>
      <w:proofErr w:type="spellEnd"/>
      <w:r w:rsidRPr="00694329">
        <w:rPr>
          <w:rFonts w:ascii="Tahoma" w:hAnsi="Tahoma" w:cs="Tahoma"/>
        </w:rPr>
        <w:t xml:space="preserve"> da </w:t>
      </w:r>
      <w:proofErr w:type="spellStart"/>
      <w:r w:rsidRPr="00694329">
        <w:rPr>
          <w:rFonts w:ascii="Tahoma" w:hAnsi="Tahoma" w:cs="Tahoma"/>
        </w:rPr>
        <w:t>Bluebell</w:t>
      </w:r>
      <w:proofErr w:type="spellEnd"/>
      <w:r w:rsidRPr="00694329">
        <w:rPr>
          <w:rFonts w:ascii="Tahoma" w:hAnsi="Tahoma" w:cs="Tahoma"/>
        </w:rPr>
        <w:t>.</w:t>
      </w:r>
      <w:r w:rsidRPr="00694329">
        <w:rPr>
          <w:rFonts w:ascii="Tahoma" w:hAnsi="Tahoma" w:cs="Tahoma"/>
        </w:rPr>
        <w:br/>
        <w:t xml:space="preserve">5.1. Le parti hanno depositato da ultimo memorie di replica con le quali </w:t>
      </w:r>
      <w:proofErr w:type="spellStart"/>
      <w:r w:rsidRPr="00694329">
        <w:rPr>
          <w:rFonts w:ascii="Tahoma" w:hAnsi="Tahoma" w:cs="Tahoma"/>
        </w:rPr>
        <w:t>Bluebell</w:t>
      </w:r>
      <w:proofErr w:type="spellEnd"/>
      <w:r w:rsidRPr="00694329">
        <w:rPr>
          <w:rFonts w:ascii="Tahoma" w:hAnsi="Tahoma" w:cs="Tahoma"/>
        </w:rPr>
        <w:t xml:space="preserve"> (deposito in data 24.2.2017) riepiloga in forma ulteriormente sintetica le proprie argomentazioni su specifici punti e HRII (deposito in data 24.2.2017), </w:t>
      </w:r>
      <w:proofErr w:type="spellStart"/>
      <w:r w:rsidRPr="00694329">
        <w:rPr>
          <w:rFonts w:ascii="Tahoma" w:hAnsi="Tahoma" w:cs="Tahoma"/>
        </w:rPr>
        <w:t>Consob</w:t>
      </w:r>
      <w:proofErr w:type="spellEnd"/>
      <w:r w:rsidRPr="00694329">
        <w:rPr>
          <w:rFonts w:ascii="Tahoma" w:hAnsi="Tahoma" w:cs="Tahoma"/>
        </w:rPr>
        <w:t xml:space="preserve"> e Finmeccanica (depositi in data 25.2.2017) ribattono singolarmente alla precedente memoria di </w:t>
      </w:r>
      <w:proofErr w:type="spellStart"/>
      <w:r w:rsidRPr="00694329">
        <w:rPr>
          <w:rFonts w:ascii="Tahoma" w:hAnsi="Tahoma" w:cs="Tahoma"/>
        </w:rPr>
        <w:t>Bluebell</w:t>
      </w:r>
      <w:proofErr w:type="spellEnd"/>
      <w:r w:rsidRPr="00694329">
        <w:rPr>
          <w:rFonts w:ascii="Tahoma" w:hAnsi="Tahoma" w:cs="Tahoma"/>
        </w:rPr>
        <w:t>.</w:t>
      </w:r>
      <w:r w:rsidRPr="00694329">
        <w:rPr>
          <w:rFonts w:ascii="Tahoma" w:hAnsi="Tahoma" w:cs="Tahoma"/>
        </w:rPr>
        <w:br/>
        <w:t>6. La causa è stata quindi nuovamente chiamata alla camera di consiglio del 9.3.2017 ed ivi trattenuta in decisione.</w:t>
      </w:r>
      <w:r w:rsidRPr="00694329">
        <w:rPr>
          <w:rFonts w:ascii="Tahoma" w:hAnsi="Tahoma" w:cs="Tahoma"/>
        </w:rPr>
        <w:br/>
        <w:t xml:space="preserve">7. Vale in primo luogo affrontare l’appello incidentale di </w:t>
      </w:r>
      <w:proofErr w:type="spellStart"/>
      <w:r w:rsidRPr="00694329">
        <w:rPr>
          <w:rFonts w:ascii="Tahoma" w:hAnsi="Tahoma" w:cs="Tahoma"/>
        </w:rPr>
        <w:t>Bluebell</w:t>
      </w:r>
      <w:proofErr w:type="spellEnd"/>
      <w:r w:rsidRPr="00694329">
        <w:rPr>
          <w:rFonts w:ascii="Tahoma" w:hAnsi="Tahoma" w:cs="Tahoma"/>
        </w:rPr>
        <w:t>, riepilogato ai punti da 2.1. a 2.1.3. che precedono.</w:t>
      </w:r>
      <w:r w:rsidRPr="00694329">
        <w:rPr>
          <w:rFonts w:ascii="Tahoma" w:hAnsi="Tahoma" w:cs="Tahoma"/>
        </w:rPr>
        <w:br/>
        <w:t>Questo appello risulta infondato.</w:t>
      </w:r>
      <w:r w:rsidRPr="00694329">
        <w:rPr>
          <w:rFonts w:ascii="Tahoma" w:hAnsi="Tahoma" w:cs="Tahoma"/>
        </w:rPr>
        <w:br/>
        <w:t xml:space="preserve">La parte ha puntato in tal modo, nella sostanza, a riaprire il dibattito svoltosi in primo grado (ed intercluso dalla pronuncia di improcedibilità del suo originario ricorso principale, che la stessa parte contesta in questo grado di giudizio) sul fatto che persistesse un proprio interesse ad una pronuncia nel merito su detto ricorso principale </w:t>
      </w:r>
      <w:proofErr w:type="spellStart"/>
      <w:r w:rsidRPr="00694329">
        <w:rPr>
          <w:rFonts w:ascii="Tahoma" w:hAnsi="Tahoma" w:cs="Tahoma"/>
        </w:rPr>
        <w:t>giacchè</w:t>
      </w:r>
      <w:proofErr w:type="spellEnd"/>
      <w:r w:rsidRPr="00694329">
        <w:rPr>
          <w:rFonts w:ascii="Tahoma" w:hAnsi="Tahoma" w:cs="Tahoma"/>
        </w:rPr>
        <w:t xml:space="preserve"> – a suo avviso – il differimento dell’accesso, pronunciato una prima volta dalla </w:t>
      </w:r>
      <w:proofErr w:type="spellStart"/>
      <w:r w:rsidRPr="00694329">
        <w:rPr>
          <w:rFonts w:ascii="Tahoma" w:hAnsi="Tahoma" w:cs="Tahoma"/>
        </w:rPr>
        <w:t>Consob</w:t>
      </w:r>
      <w:proofErr w:type="spellEnd"/>
      <w:r w:rsidRPr="00694329">
        <w:rPr>
          <w:rFonts w:ascii="Tahoma" w:hAnsi="Tahoma" w:cs="Tahoma"/>
        </w:rPr>
        <w:t xml:space="preserve"> sulla sua iniziale domanda, avrebbe piuttosto celato, a ben vedere, un assenso all’esercizio dell’accesso, così come chiesto dalla parte privata, pur se condizionato ad una mera dilazione temporale nel suo materiale espletamento.</w:t>
      </w:r>
      <w:r w:rsidRPr="00694329">
        <w:rPr>
          <w:rFonts w:ascii="Tahoma" w:hAnsi="Tahoma" w:cs="Tahoma"/>
        </w:rPr>
        <w:br/>
        <w:t xml:space="preserve">Ne conseguirebbe – sempre ad avviso della parte – la contraddittorietà del successivo diniego di accesso opposto nettamente dalla </w:t>
      </w:r>
      <w:proofErr w:type="spellStart"/>
      <w:r w:rsidRPr="00694329">
        <w:rPr>
          <w:rFonts w:ascii="Tahoma" w:hAnsi="Tahoma" w:cs="Tahoma"/>
        </w:rPr>
        <w:t>Consob</w:t>
      </w:r>
      <w:proofErr w:type="spellEnd"/>
      <w:r w:rsidRPr="00694329">
        <w:rPr>
          <w:rFonts w:ascii="Tahoma" w:hAnsi="Tahoma" w:cs="Tahoma"/>
        </w:rPr>
        <w:t xml:space="preserve"> e, pertanto, l’esigenza di procedere ad un sindacato di merito in ordine alla legittimità di questo </w:t>
      </w:r>
      <w:proofErr w:type="spellStart"/>
      <w:r w:rsidRPr="00694329">
        <w:rPr>
          <w:rFonts w:ascii="Tahoma" w:hAnsi="Tahoma" w:cs="Tahoma"/>
        </w:rPr>
        <w:t>revirement</w:t>
      </w:r>
      <w:proofErr w:type="spellEnd"/>
      <w:r w:rsidRPr="00694329">
        <w:rPr>
          <w:rFonts w:ascii="Tahoma" w:hAnsi="Tahoma" w:cs="Tahoma"/>
        </w:rPr>
        <w:t xml:space="preserve">, del tutto ingiustificato nella prospettazione di </w:t>
      </w:r>
      <w:proofErr w:type="spellStart"/>
      <w:r w:rsidRPr="00694329">
        <w:rPr>
          <w:rFonts w:ascii="Tahoma" w:hAnsi="Tahoma" w:cs="Tahoma"/>
        </w:rPr>
        <w:t>Bluebell</w:t>
      </w:r>
      <w:proofErr w:type="spellEnd"/>
      <w:r w:rsidRPr="00694329">
        <w:rPr>
          <w:rFonts w:ascii="Tahoma" w:hAnsi="Tahoma" w:cs="Tahoma"/>
        </w:rPr>
        <w:t>.</w:t>
      </w:r>
      <w:r w:rsidRPr="00694329">
        <w:rPr>
          <w:rFonts w:ascii="Tahoma" w:hAnsi="Tahoma" w:cs="Tahoma"/>
        </w:rPr>
        <w:br/>
        <w:t>Questo assunto, tuttavia, non convince e proprio nel suo presupposto basico.</w:t>
      </w:r>
      <w:r w:rsidRPr="00694329">
        <w:rPr>
          <w:rFonts w:ascii="Tahoma" w:hAnsi="Tahoma" w:cs="Tahoma"/>
        </w:rPr>
        <w:br/>
        <w:t xml:space="preserve">L’art. 24, co. 4, della </w:t>
      </w:r>
      <w:proofErr w:type="spellStart"/>
      <w:r w:rsidRPr="00694329">
        <w:rPr>
          <w:rFonts w:ascii="Tahoma" w:hAnsi="Tahoma" w:cs="Tahoma"/>
        </w:rPr>
        <w:t>l.n</w:t>
      </w:r>
      <w:proofErr w:type="spellEnd"/>
      <w:r w:rsidRPr="00694329">
        <w:rPr>
          <w:rFonts w:ascii="Tahoma" w:hAnsi="Tahoma" w:cs="Tahoma"/>
        </w:rPr>
        <w:t>. 241/1990 stabilisce che “L’accesso ai documenti amministrativi non può essere negato ove sia sufficiente fare ricorso al potere di differimento.”.</w:t>
      </w:r>
      <w:r w:rsidRPr="00694329">
        <w:rPr>
          <w:rFonts w:ascii="Tahoma" w:hAnsi="Tahoma" w:cs="Tahoma"/>
        </w:rPr>
        <w:br/>
        <w:t>La formula normativa impiegata al riguardo non risulta lasciar dubbi sul fatto che un differimento dell’accesso ai documenti pretesi dal privato né sottintende ovvero può mascherare un atteggiamento perplesso ed incerto dell’Amministrazione (sul se consentire o meno l’ostensione chiesta, nel momento in cui viene da essa ricevuta la domanda di accesso) né, ancor più, può valere come “promessa” ovvero “prenotazione” di accesso da espletare tuttavia in un tempo diverso e successivo rispetto a quello coincidente con la ricezione della relativa domanda formulata dal privato.</w:t>
      </w:r>
      <w:r w:rsidRPr="00694329">
        <w:rPr>
          <w:rFonts w:ascii="Tahoma" w:hAnsi="Tahoma" w:cs="Tahoma"/>
        </w:rPr>
        <w:br/>
        <w:t>Sono invero proprio le parole utilizzate dalla legge (segnatamente, “non può essere negato ove sia sufficiente”) a dover far propendere – ad avviso del Collegio – per una lettura della norma nel senso che il differimento dell’accesso altro non è che un rimedio ad un diniego che altrimenti sarebbe certo ove la domanda di accesso fosse senz’altro delibata dall’Amministrazione nel momento preciso in cui essa le perviene dal privato.</w:t>
      </w:r>
      <w:r w:rsidRPr="00694329">
        <w:rPr>
          <w:rFonts w:ascii="Tahoma" w:hAnsi="Tahoma" w:cs="Tahoma"/>
        </w:rPr>
        <w:br/>
        <w:t xml:space="preserve">In altri termini, onde evitare al privato l’onere di una ripetizione della propria domanda in tempi diversi e successivi, inframezzati da dinieghi nei cui riguardi, a quel punto, il privato dovrebbe porsi </w:t>
      </w:r>
      <w:r w:rsidRPr="00694329">
        <w:rPr>
          <w:rFonts w:ascii="Tahoma" w:hAnsi="Tahoma" w:cs="Tahoma"/>
        </w:rPr>
        <w:lastRenderedPageBreak/>
        <w:t>lo scrupolo di singole impugnazioni, la norma di legge ha avuto l’accortezza di prevedere la possibilità per l’Amministrazione – che in un iniziale momento “x” avvertirebbe l’esigenza di denegare l’accesso – di rinviare ad un successivo momento “y” la delibazione della domanda (sempre unica) del privato, non potendosi escludere che, in tale secondo momento, l’Amministrazione – rivalutata la situazione, anche alla luce di quanto medio tempore eventualmente accaduto – propenda piuttosto per l’adesione alla richiesta di accesso, dando così soddisfazione alle aspettative del privato.</w:t>
      </w:r>
      <w:r w:rsidRPr="00694329">
        <w:rPr>
          <w:rFonts w:ascii="Tahoma" w:hAnsi="Tahoma" w:cs="Tahoma"/>
        </w:rPr>
        <w:br/>
        <w:t xml:space="preserve">Un riscontro a questa lettura interpretativa si trova poi, ad avviso del Collegio, nell’art. 25, co. 3, della </w:t>
      </w:r>
      <w:proofErr w:type="spellStart"/>
      <w:r w:rsidRPr="00694329">
        <w:rPr>
          <w:rFonts w:ascii="Tahoma" w:hAnsi="Tahoma" w:cs="Tahoma"/>
        </w:rPr>
        <w:t>l.n</w:t>
      </w:r>
      <w:proofErr w:type="spellEnd"/>
      <w:r w:rsidRPr="00694329">
        <w:rPr>
          <w:rFonts w:ascii="Tahoma" w:hAnsi="Tahoma" w:cs="Tahoma"/>
        </w:rPr>
        <w:t>. 241/1990, ove si legge che “Il rifiuto, il differimento e la limitazione dell'accesso sono ammessi nei casi e nei limiti stabiliti dall'articolo 24 e debbono essere motivati.”.</w:t>
      </w:r>
      <w:r w:rsidRPr="00694329">
        <w:rPr>
          <w:rFonts w:ascii="Tahoma" w:hAnsi="Tahoma" w:cs="Tahoma"/>
        </w:rPr>
        <w:br/>
        <w:t xml:space="preserve">In questa seconda norma, come è dato notare, il “differimento” dell’accesso è (e non a caso) affiancato a quelli del “rifiuto” e della “limitazione” dell’accesso, ossia ad ipotesi tutte negative, e non già abbinato ad alcuna fattispecie evocativa di un assenso (per quanto parziale) sottinteso ed attuale ma comunque rinviato (per la sua materiale e concreta soddisfazione) ad un momento posteriore rispetto a quello in cui la domanda di ostensione perviene all’Amministrazione interessata. </w:t>
      </w:r>
      <w:r w:rsidRPr="00694329">
        <w:rPr>
          <w:rFonts w:ascii="Tahoma" w:hAnsi="Tahoma" w:cs="Tahoma"/>
        </w:rPr>
        <w:br/>
        <w:t xml:space="preserve">A cospetto di ciò allora, nel caso in esame, altro non è accaduto se non che la </w:t>
      </w:r>
      <w:proofErr w:type="spellStart"/>
      <w:r w:rsidRPr="00694329">
        <w:rPr>
          <w:rFonts w:ascii="Tahoma" w:hAnsi="Tahoma" w:cs="Tahoma"/>
        </w:rPr>
        <w:t>Consob</w:t>
      </w:r>
      <w:proofErr w:type="spellEnd"/>
      <w:r w:rsidRPr="00694329">
        <w:rPr>
          <w:rFonts w:ascii="Tahoma" w:hAnsi="Tahoma" w:cs="Tahoma"/>
        </w:rPr>
        <w:t>, col suo (definitivo) diniego, successivo al differimento precedentemente disposto nei riguardi del privato, ha riconfermato, motivatamente nel merito, un diniego già implicitamente affermato, pur sotto le vesti di un non accesso “allo stato”, così di fatto facendo traslare l’interesse oppositivo sostanziale del privato dal provvedimento (interinale) di differimento al provvedimento (definitivo) di diniego.</w:t>
      </w:r>
      <w:r w:rsidRPr="00694329">
        <w:rPr>
          <w:rFonts w:ascii="Tahoma" w:hAnsi="Tahoma" w:cs="Tahoma"/>
        </w:rPr>
        <w:br/>
        <w:t>In quest’ottica, pertanto, la pronuncia di improcedibilità adottata dalla sentenza di primo grado, e sopra ricordata, non risulta eccepibile.</w:t>
      </w:r>
      <w:r w:rsidRPr="00694329">
        <w:rPr>
          <w:rFonts w:ascii="Tahoma" w:hAnsi="Tahoma" w:cs="Tahoma"/>
        </w:rPr>
        <w:br/>
        <w:t xml:space="preserve">8. Vale poi affrontare l’appello principale in epigrafe che, risultando fondato e meritevole di accoglimento, permette nella sostanza di far ritenere assorbite le censure mosse alla sentenza in scrutinio con gli altri appelli incidentali, di per se stessi proiettati su questioni e traiettorie argomentative non dissimili da quelle che sono alla base dell’appello della </w:t>
      </w:r>
      <w:proofErr w:type="spellStart"/>
      <w:r w:rsidRPr="00694329">
        <w:rPr>
          <w:rFonts w:ascii="Tahoma" w:hAnsi="Tahoma" w:cs="Tahoma"/>
        </w:rPr>
        <w:t>Consob</w:t>
      </w:r>
      <w:proofErr w:type="spellEnd"/>
      <w:r w:rsidRPr="00694329">
        <w:rPr>
          <w:rFonts w:ascii="Tahoma" w:hAnsi="Tahoma" w:cs="Tahoma"/>
        </w:rPr>
        <w:t>.</w:t>
      </w:r>
      <w:r w:rsidRPr="00694329">
        <w:rPr>
          <w:rFonts w:ascii="Tahoma" w:hAnsi="Tahoma" w:cs="Tahoma"/>
        </w:rPr>
        <w:br/>
        <w:t xml:space="preserve">8.1. Incidentalmente, in premessa, è bene in ogni caso osservare che – come pure dianzi riferito – </w:t>
      </w:r>
      <w:proofErr w:type="spellStart"/>
      <w:r w:rsidRPr="00694329">
        <w:rPr>
          <w:rFonts w:ascii="Tahoma" w:hAnsi="Tahoma" w:cs="Tahoma"/>
        </w:rPr>
        <w:t>Bluebell</w:t>
      </w:r>
      <w:proofErr w:type="spellEnd"/>
      <w:r w:rsidRPr="00694329">
        <w:rPr>
          <w:rFonts w:ascii="Tahoma" w:hAnsi="Tahoma" w:cs="Tahoma"/>
        </w:rPr>
        <w:t xml:space="preserve"> ha intanto già impugnato la predetta delibera </w:t>
      </w:r>
      <w:proofErr w:type="spellStart"/>
      <w:r w:rsidRPr="00694329">
        <w:rPr>
          <w:rFonts w:ascii="Tahoma" w:hAnsi="Tahoma" w:cs="Tahoma"/>
        </w:rPr>
        <w:t>Consob</w:t>
      </w:r>
      <w:proofErr w:type="spellEnd"/>
      <w:r w:rsidRPr="00694329">
        <w:rPr>
          <w:rFonts w:ascii="Tahoma" w:hAnsi="Tahoma" w:cs="Tahoma"/>
        </w:rPr>
        <w:t xml:space="preserve"> n. 19507 del 3.2.2016 (</w:t>
      </w:r>
      <w:proofErr w:type="spellStart"/>
      <w:r w:rsidRPr="00694329">
        <w:rPr>
          <w:rFonts w:ascii="Tahoma" w:hAnsi="Tahoma" w:cs="Tahoma"/>
        </w:rPr>
        <w:t>argomentatamente</w:t>
      </w:r>
      <w:proofErr w:type="spellEnd"/>
      <w:r w:rsidRPr="00694329">
        <w:rPr>
          <w:rFonts w:ascii="Tahoma" w:hAnsi="Tahoma" w:cs="Tahoma"/>
        </w:rPr>
        <w:t xml:space="preserve"> – per quanto riferito negli ultimi scritti acquisiti a questo giudizio – e dunque dimostrando così </w:t>
      </w:r>
      <w:proofErr w:type="spellStart"/>
      <w:r w:rsidRPr="00694329">
        <w:rPr>
          <w:rFonts w:ascii="Tahoma" w:hAnsi="Tahoma" w:cs="Tahoma"/>
        </w:rPr>
        <w:t>Bluebell</w:t>
      </w:r>
      <w:proofErr w:type="spellEnd"/>
      <w:r w:rsidRPr="00694329">
        <w:rPr>
          <w:rFonts w:ascii="Tahoma" w:hAnsi="Tahoma" w:cs="Tahoma"/>
        </w:rPr>
        <w:t xml:space="preserve"> che evidentemente non le faceva difetto una già sufficiente conoscenza degli atti del relativo procedimento svoltosi presso la </w:t>
      </w:r>
      <w:proofErr w:type="spellStart"/>
      <w:r w:rsidRPr="00694329">
        <w:rPr>
          <w:rFonts w:ascii="Tahoma" w:hAnsi="Tahoma" w:cs="Tahoma"/>
        </w:rPr>
        <w:t>Consob</w:t>
      </w:r>
      <w:proofErr w:type="spellEnd"/>
      <w:r w:rsidRPr="00694329">
        <w:rPr>
          <w:rFonts w:ascii="Tahoma" w:hAnsi="Tahoma" w:cs="Tahoma"/>
        </w:rPr>
        <w:t xml:space="preserve">) e che nel corso di tale nuovo giudizio è già stata proposta una pregiudiziale comunitaria in merito allo stesso potere mediante il cui esercizio </w:t>
      </w:r>
      <w:proofErr w:type="spellStart"/>
      <w:r w:rsidRPr="00694329">
        <w:rPr>
          <w:rFonts w:ascii="Tahoma" w:hAnsi="Tahoma" w:cs="Tahoma"/>
        </w:rPr>
        <w:t>Consob</w:t>
      </w:r>
      <w:proofErr w:type="spellEnd"/>
      <w:r w:rsidRPr="00694329">
        <w:rPr>
          <w:rFonts w:ascii="Tahoma" w:hAnsi="Tahoma" w:cs="Tahoma"/>
        </w:rPr>
        <w:t xml:space="preserve"> ha potuto adottare detta delibera.</w:t>
      </w:r>
      <w:r w:rsidRPr="00694329">
        <w:rPr>
          <w:rFonts w:ascii="Tahoma" w:hAnsi="Tahoma" w:cs="Tahoma"/>
        </w:rPr>
        <w:br/>
        <w:t xml:space="preserve">All’evidenza, qualora la questione pregiudiziale si risolvesse nel senso che a </w:t>
      </w:r>
      <w:proofErr w:type="spellStart"/>
      <w:r w:rsidRPr="00694329">
        <w:rPr>
          <w:rFonts w:ascii="Tahoma" w:hAnsi="Tahoma" w:cs="Tahoma"/>
        </w:rPr>
        <w:t>Consob</w:t>
      </w:r>
      <w:proofErr w:type="spellEnd"/>
      <w:r w:rsidRPr="00694329">
        <w:rPr>
          <w:rFonts w:ascii="Tahoma" w:hAnsi="Tahoma" w:cs="Tahoma"/>
        </w:rPr>
        <w:t xml:space="preserve"> non spetta detto potere, tutta l’impalcatura conteziosa ed argomentativa che forma oggetto del presente giudizio rimarrebbe priva di giustificazione.</w:t>
      </w:r>
      <w:r w:rsidRPr="00694329">
        <w:rPr>
          <w:rFonts w:ascii="Tahoma" w:hAnsi="Tahoma" w:cs="Tahoma"/>
        </w:rPr>
        <w:br/>
        <w:t xml:space="preserve">Il già avviato incidente comunitario e la sua possibile pregiudizialità in ordine alla persistenza o meno di un interesse all’accesso documentale proposto da </w:t>
      </w:r>
      <w:proofErr w:type="spellStart"/>
      <w:r w:rsidRPr="00694329">
        <w:rPr>
          <w:rFonts w:ascii="Tahoma" w:hAnsi="Tahoma" w:cs="Tahoma"/>
        </w:rPr>
        <w:t>Bluebell</w:t>
      </w:r>
      <w:proofErr w:type="spellEnd"/>
      <w:r w:rsidRPr="00694329">
        <w:rPr>
          <w:rFonts w:ascii="Tahoma" w:hAnsi="Tahoma" w:cs="Tahoma"/>
        </w:rPr>
        <w:t xml:space="preserve"> non giustifica peraltro – come pure emergerebbe ipotizzato negli scritti di parte – una sospensione di questo giudizio in attesa dell’esito di quello innanzi alla CGUE e ciò:</w:t>
      </w:r>
      <w:r w:rsidRPr="00694329">
        <w:rPr>
          <w:rFonts w:ascii="Tahoma" w:hAnsi="Tahoma" w:cs="Tahoma"/>
        </w:rPr>
        <w:br/>
        <w:t xml:space="preserve">- sia perché nel già instaurato, nuovo giudizio di primo grado </w:t>
      </w:r>
      <w:proofErr w:type="spellStart"/>
      <w:r w:rsidRPr="00694329">
        <w:rPr>
          <w:rFonts w:ascii="Tahoma" w:hAnsi="Tahoma" w:cs="Tahoma"/>
        </w:rPr>
        <w:t>Bluebell</w:t>
      </w:r>
      <w:proofErr w:type="spellEnd"/>
      <w:r w:rsidRPr="00694329">
        <w:rPr>
          <w:rFonts w:ascii="Tahoma" w:hAnsi="Tahoma" w:cs="Tahoma"/>
        </w:rPr>
        <w:t xml:space="preserve">, all’occorrenza, non è priva di rimedi e tutele per – ove effettivamente se ne riscontrino i presupposti – instare nuovamente </w:t>
      </w:r>
      <w:proofErr w:type="spellStart"/>
      <w:r w:rsidRPr="00694329">
        <w:rPr>
          <w:rFonts w:ascii="Tahoma" w:hAnsi="Tahoma" w:cs="Tahoma"/>
        </w:rPr>
        <w:t>affinchè</w:t>
      </w:r>
      <w:proofErr w:type="spellEnd"/>
      <w:r w:rsidRPr="00694329">
        <w:rPr>
          <w:rFonts w:ascii="Tahoma" w:hAnsi="Tahoma" w:cs="Tahoma"/>
        </w:rPr>
        <w:t xml:space="preserve"> il relativo Giudice ordini a </w:t>
      </w:r>
      <w:proofErr w:type="spellStart"/>
      <w:r w:rsidRPr="00694329">
        <w:rPr>
          <w:rFonts w:ascii="Tahoma" w:hAnsi="Tahoma" w:cs="Tahoma"/>
        </w:rPr>
        <w:t>Consob</w:t>
      </w:r>
      <w:proofErr w:type="spellEnd"/>
      <w:r w:rsidRPr="00694329">
        <w:rPr>
          <w:rFonts w:ascii="Tahoma" w:hAnsi="Tahoma" w:cs="Tahoma"/>
        </w:rPr>
        <w:t xml:space="preserve"> le esibizioni documentali mancanti e ritenute occorrenti a fini di decisione;</w:t>
      </w:r>
      <w:r w:rsidRPr="00694329">
        <w:rPr>
          <w:rFonts w:ascii="Tahoma" w:hAnsi="Tahoma" w:cs="Tahoma"/>
        </w:rPr>
        <w:br/>
        <w:t xml:space="preserve">- sia perché esigenze di contenimento dei rimedi di giustizia, oltre che gli elementi già disponibili in </w:t>
      </w:r>
      <w:r w:rsidRPr="00694329">
        <w:rPr>
          <w:rFonts w:ascii="Tahoma" w:hAnsi="Tahoma" w:cs="Tahoma"/>
        </w:rPr>
        <w:lastRenderedPageBreak/>
        <w:t xml:space="preserve">questo giudizio, suggeriscono piuttosto di non moltiplicare ovvero sovrapporre questioni tematiche (quelle riguardanti la correttezza o meno dell’opposto diniego di accesso) che al contrario meritano di essere valutate in un’ottica </w:t>
      </w:r>
      <w:proofErr w:type="spellStart"/>
      <w:r w:rsidRPr="00694329">
        <w:rPr>
          <w:rFonts w:ascii="Tahoma" w:hAnsi="Tahoma" w:cs="Tahoma"/>
        </w:rPr>
        <w:t>concentrativa</w:t>
      </w:r>
      <w:proofErr w:type="spellEnd"/>
      <w:r w:rsidRPr="00694329">
        <w:rPr>
          <w:rFonts w:ascii="Tahoma" w:hAnsi="Tahoma" w:cs="Tahoma"/>
        </w:rPr>
        <w:t>;</w:t>
      </w:r>
      <w:r w:rsidRPr="00694329">
        <w:rPr>
          <w:rFonts w:ascii="Tahoma" w:hAnsi="Tahoma" w:cs="Tahoma"/>
        </w:rPr>
        <w:br/>
        <w:t xml:space="preserve">- sia perché infine, essendosi già incardinato il giudizio di merito in relazione al quale </w:t>
      </w:r>
      <w:proofErr w:type="spellStart"/>
      <w:r w:rsidRPr="00694329">
        <w:rPr>
          <w:rFonts w:ascii="Tahoma" w:hAnsi="Tahoma" w:cs="Tahoma"/>
        </w:rPr>
        <w:t>Bluebell</w:t>
      </w:r>
      <w:proofErr w:type="spellEnd"/>
      <w:r w:rsidRPr="00694329">
        <w:rPr>
          <w:rFonts w:ascii="Tahoma" w:hAnsi="Tahoma" w:cs="Tahoma"/>
        </w:rPr>
        <w:t xml:space="preserve"> ha assunto di dover disporre – a fini di difesa o di miglior difesa – di ulteriore documentazione esistente presso la </w:t>
      </w:r>
      <w:proofErr w:type="spellStart"/>
      <w:r w:rsidRPr="00694329">
        <w:rPr>
          <w:rFonts w:ascii="Tahoma" w:hAnsi="Tahoma" w:cs="Tahoma"/>
        </w:rPr>
        <w:t>Consob</w:t>
      </w:r>
      <w:proofErr w:type="spellEnd"/>
      <w:r w:rsidRPr="00694329">
        <w:rPr>
          <w:rFonts w:ascii="Tahoma" w:hAnsi="Tahoma" w:cs="Tahoma"/>
        </w:rPr>
        <w:t xml:space="preserve">, il Giudice che più appropriatamente risulta in grado di valutare inerenza ed appropriatezza delle istanze di </w:t>
      </w:r>
      <w:proofErr w:type="spellStart"/>
      <w:r w:rsidRPr="00694329">
        <w:rPr>
          <w:rFonts w:ascii="Tahoma" w:hAnsi="Tahoma" w:cs="Tahoma"/>
        </w:rPr>
        <w:t>Bluebell</w:t>
      </w:r>
      <w:proofErr w:type="spellEnd"/>
      <w:r w:rsidRPr="00694329">
        <w:rPr>
          <w:rFonts w:ascii="Tahoma" w:hAnsi="Tahoma" w:cs="Tahoma"/>
        </w:rPr>
        <w:t xml:space="preserve"> al riguardo è, appunto, quello stesso presso il quale già pende la controversia di merito in seno alla quale detta ulteriore documentazione potrebbe avere rilevanza.</w:t>
      </w:r>
      <w:r w:rsidRPr="00694329">
        <w:rPr>
          <w:rFonts w:ascii="Tahoma" w:hAnsi="Tahoma" w:cs="Tahoma"/>
        </w:rPr>
        <w:br/>
        <w:t xml:space="preserve">8.2. L’appello della </w:t>
      </w:r>
      <w:proofErr w:type="spellStart"/>
      <w:r w:rsidRPr="00694329">
        <w:rPr>
          <w:rFonts w:ascii="Tahoma" w:hAnsi="Tahoma" w:cs="Tahoma"/>
        </w:rPr>
        <w:t>Consob</w:t>
      </w:r>
      <w:proofErr w:type="spellEnd"/>
      <w:r w:rsidRPr="00694329">
        <w:rPr>
          <w:rFonts w:ascii="Tahoma" w:hAnsi="Tahoma" w:cs="Tahoma"/>
        </w:rPr>
        <w:t xml:space="preserve"> risulta fondato perché non convincente è la tesi, fatta propria dai Giudici che hanno emesso la sentenza qui impugnata, secondo la quale un diritto all’accesso documentale esercitato a fini defensionali – quale è quello da cui promana l’interesse azionato da </w:t>
      </w:r>
      <w:proofErr w:type="spellStart"/>
      <w:r w:rsidRPr="00694329">
        <w:rPr>
          <w:rFonts w:ascii="Tahoma" w:hAnsi="Tahoma" w:cs="Tahoma"/>
        </w:rPr>
        <w:t>Bluebell</w:t>
      </w:r>
      <w:proofErr w:type="spellEnd"/>
      <w:r w:rsidRPr="00694329">
        <w:rPr>
          <w:rFonts w:ascii="Tahoma" w:hAnsi="Tahoma" w:cs="Tahoma"/>
        </w:rPr>
        <w:t xml:space="preserve"> nel caso di specie – avrebbe in assoluto la capacità di spianare, sulla sua strada, un qualsivoglia interesse contrario, pur se qualificato.</w:t>
      </w:r>
      <w:r w:rsidRPr="00694329">
        <w:rPr>
          <w:rFonts w:ascii="Tahoma" w:hAnsi="Tahoma" w:cs="Tahoma"/>
        </w:rPr>
        <w:br/>
        <w:t xml:space="preserve">8.2.1. Certamente nella scala gerarchica dei valori da considerare, in occasione della disamina dei motivi che giustificano una domanda di accesso, quelli legati alle esigenze di difesa del richiedente occupano un gradino elevato ma non tale, tuttavia, da prevalere sempre e comunque (e soprattutto acriticamente) su qualunque altro interesse, specie se contrapposto </w:t>
      </w:r>
      <w:proofErr w:type="spellStart"/>
      <w:r w:rsidRPr="00694329">
        <w:rPr>
          <w:rFonts w:ascii="Tahoma" w:hAnsi="Tahoma" w:cs="Tahoma"/>
        </w:rPr>
        <w:t>giacchè</w:t>
      </w:r>
      <w:proofErr w:type="spellEnd"/>
      <w:r w:rsidRPr="00694329">
        <w:rPr>
          <w:rFonts w:ascii="Tahoma" w:hAnsi="Tahoma" w:cs="Tahoma"/>
        </w:rPr>
        <w:t xml:space="preserve"> invocato da chi, di contro, denuncia che, consentendosi l’accesso, si permetterebbe il disvelamento di propri dati, ritenuti sensibili, contenuti nella documentazione amministrativa da altri chiesta.</w:t>
      </w:r>
      <w:r w:rsidRPr="00694329">
        <w:rPr>
          <w:rFonts w:ascii="Tahoma" w:hAnsi="Tahoma" w:cs="Tahoma"/>
        </w:rPr>
        <w:br/>
        <w:t>E’ anche vero che, entro determinati limiti, un’effettiva esigenza di difesa, non altrimenti suscettibile di appagamento (ossia che non è possibile soddisfare se non acquisendo conoscenza proprio di quella particolare documentazione che reca altresì, in seno, il dato sensibile che riguarda un soggetto terzo e, perciò, controinteressato), può prevalere sui contrapposti interessi alla riservatezza.</w:t>
      </w:r>
      <w:r w:rsidRPr="00694329">
        <w:rPr>
          <w:rFonts w:ascii="Tahoma" w:hAnsi="Tahoma" w:cs="Tahoma"/>
        </w:rPr>
        <w:br/>
        <w:t xml:space="preserve">In ogni caso, il dissidio tra interessi fra loro collidenti non può essere risolto in chiave unilaterale, </w:t>
      </w:r>
      <w:proofErr w:type="spellStart"/>
      <w:r w:rsidRPr="00694329">
        <w:rPr>
          <w:rFonts w:ascii="Tahoma" w:hAnsi="Tahoma" w:cs="Tahoma"/>
        </w:rPr>
        <w:t>giacchè</w:t>
      </w:r>
      <w:proofErr w:type="spellEnd"/>
      <w:r w:rsidRPr="00694329">
        <w:rPr>
          <w:rFonts w:ascii="Tahoma" w:hAnsi="Tahoma" w:cs="Tahoma"/>
        </w:rPr>
        <w:t xml:space="preserve"> questo potrebbe condurre anche a risultati paradossali ed opposti a quello che, invece, è un delicato equilibrio che, di volta in volta e fuori da schematizzazioni astratte ed assolutistiche, va ricercato in concreto, bilanciando tra loro posizioni non consonanti.</w:t>
      </w:r>
      <w:r w:rsidRPr="00694329">
        <w:rPr>
          <w:rFonts w:ascii="Tahoma" w:hAnsi="Tahoma" w:cs="Tahoma"/>
        </w:rPr>
        <w:br/>
        <w:t>Si pensi, invero, al caso di chi, chiedendo l’accesso per motivi di difesa ma non sapendo preventivamente indicare quale documento esattamente gli occorre e giustificatamente perché, l’ottenga e si procacci in tal modo materiale documentale recante anche informazioni sensibili che riguardano soggetti terzi.</w:t>
      </w:r>
      <w:r w:rsidRPr="00694329">
        <w:rPr>
          <w:rFonts w:ascii="Tahoma" w:hAnsi="Tahoma" w:cs="Tahoma"/>
        </w:rPr>
        <w:br/>
        <w:t>Ebbene, in un caso del genere, un’acritica prevalenza dell’accesso per dichiarate esigenze defensionali potrebbe anche condurre al risultato che colui che ha chiesto l’accesso, poi, esaminata tutta la documentazione ottenuta, valuti che alcun documento effettivamente gli sia utile per i ritenuti motivi di difesa. In tale evenienza, il danno per il terzo (i.e., conoscenza da parte altrui delle proprie informazioni sensibili) sarebbe invero irrimediabile, senza alcuna contrapposizione giustificativa, neppure quella consistente almeno nel fatto che chi aveva chiesto l’accesso abbia poi realmente utilizzato a fini di propria difesa la documentazione ottenuta.</w:t>
      </w:r>
      <w:r w:rsidRPr="00694329">
        <w:rPr>
          <w:rFonts w:ascii="Tahoma" w:hAnsi="Tahoma" w:cs="Tahoma"/>
        </w:rPr>
        <w:br/>
        <w:t xml:space="preserve">8.2.2. Lo strumento attraverso il quale contemperare in concreto la contrapposizione di interessi innanzi detta è costituito – ad avviso del Collegio – dal parametro della “stretta indispensabilità” di cui all’art. 24, co. 7, secondo periodo, della </w:t>
      </w:r>
      <w:proofErr w:type="spellStart"/>
      <w:r w:rsidRPr="00694329">
        <w:rPr>
          <w:rFonts w:ascii="Tahoma" w:hAnsi="Tahoma" w:cs="Tahoma"/>
        </w:rPr>
        <w:t>l.n</w:t>
      </w:r>
      <w:proofErr w:type="spellEnd"/>
      <w:r w:rsidRPr="00694329">
        <w:rPr>
          <w:rFonts w:ascii="Tahoma" w:hAnsi="Tahoma" w:cs="Tahoma"/>
        </w:rPr>
        <w:t xml:space="preserve">. 241/1990 </w:t>
      </w:r>
      <w:proofErr w:type="spellStart"/>
      <w:r w:rsidRPr="00694329">
        <w:rPr>
          <w:rFonts w:ascii="Tahoma" w:hAnsi="Tahoma" w:cs="Tahoma"/>
        </w:rPr>
        <w:t>giacchè</w:t>
      </w:r>
      <w:proofErr w:type="spellEnd"/>
      <w:r w:rsidRPr="00694329">
        <w:rPr>
          <w:rFonts w:ascii="Tahoma" w:hAnsi="Tahoma" w:cs="Tahoma"/>
        </w:rPr>
        <w:t xml:space="preserve"> esso è quello che, proprio a livello legislativo, viene contemplato come idoneo a giustificare la prevalenza dell’interesse di una parte – mossa dall’esigenza di “curare o difendere propri interessi giuridici” – rispetto all’interesse di un’altra parte, altrettanto mossa dall’esigenza di “curare o difendere propri interessi giuridici” </w:t>
      </w:r>
      <w:r w:rsidRPr="00694329">
        <w:rPr>
          <w:rFonts w:ascii="Tahoma" w:hAnsi="Tahoma" w:cs="Tahoma"/>
        </w:rPr>
        <w:lastRenderedPageBreak/>
        <w:t>legati ai dati sensibili che la riguardano e che possono essere contenuti nella documentazione chiesta in sede di accesso.</w:t>
      </w:r>
      <w:r w:rsidRPr="00694329">
        <w:rPr>
          <w:rFonts w:ascii="Tahoma" w:hAnsi="Tahoma" w:cs="Tahoma"/>
        </w:rPr>
        <w:br/>
        <w:t xml:space="preserve">Se, dunque, l’interesse della parte contrapposta (titolare di un dato sensibile o super sensibile) può divenire cedevole – rispetto a quello che anima la prima parte, che ha chiesto l’accesso per propri motivi di difesa – soltanto a cospetto del fatto che il documento di cui si pretende l’ostensione sia “strettamente indispensabile” a costruire ed alimentare tale difesa, occorre che precauzionalmente la valutazione di tale stretta indispensabilità avvenga nel modo possibilmente più circoscritto ed attento e non sia, al contrario, affermato – come accaduto in occasione della sentenza impugnata – sulla base di schematizzazioni formali ed astratte. </w:t>
      </w:r>
      <w:r w:rsidRPr="00694329">
        <w:rPr>
          <w:rFonts w:ascii="Tahoma" w:hAnsi="Tahoma" w:cs="Tahoma"/>
        </w:rPr>
        <w:br/>
        <w:t xml:space="preserve">8.3. Nel caso di specie </w:t>
      </w:r>
      <w:proofErr w:type="spellStart"/>
      <w:r w:rsidRPr="00694329">
        <w:rPr>
          <w:rFonts w:ascii="Tahoma" w:hAnsi="Tahoma" w:cs="Tahoma"/>
        </w:rPr>
        <w:t>Bluebell</w:t>
      </w:r>
      <w:proofErr w:type="spellEnd"/>
      <w:r w:rsidRPr="00694329">
        <w:rPr>
          <w:rFonts w:ascii="Tahoma" w:hAnsi="Tahoma" w:cs="Tahoma"/>
        </w:rPr>
        <w:t xml:space="preserve"> non risulta avere dimostrato appropriatamente la ricorrenza, a suo favore, del parametro della “stretta indispensabilità” e questo perché:</w:t>
      </w:r>
      <w:r w:rsidRPr="00694329">
        <w:rPr>
          <w:rFonts w:ascii="Tahoma" w:hAnsi="Tahoma" w:cs="Tahoma"/>
        </w:rPr>
        <w:br/>
        <w:t xml:space="preserve">a) da un lato, la </w:t>
      </w:r>
      <w:proofErr w:type="spellStart"/>
      <w:r w:rsidRPr="00694329">
        <w:rPr>
          <w:rFonts w:ascii="Tahoma" w:hAnsi="Tahoma" w:cs="Tahoma"/>
        </w:rPr>
        <w:t>Consob</w:t>
      </w:r>
      <w:proofErr w:type="spellEnd"/>
      <w:r w:rsidRPr="00694329">
        <w:rPr>
          <w:rFonts w:ascii="Tahoma" w:hAnsi="Tahoma" w:cs="Tahoma"/>
        </w:rPr>
        <w:t xml:space="preserve"> ha dichiarato – senza che ex </w:t>
      </w:r>
      <w:proofErr w:type="spellStart"/>
      <w:r w:rsidRPr="00694329">
        <w:rPr>
          <w:rFonts w:ascii="Tahoma" w:hAnsi="Tahoma" w:cs="Tahoma"/>
        </w:rPr>
        <w:t>adverso</w:t>
      </w:r>
      <w:proofErr w:type="spellEnd"/>
      <w:r w:rsidRPr="00694329">
        <w:rPr>
          <w:rFonts w:ascii="Tahoma" w:hAnsi="Tahoma" w:cs="Tahoma"/>
        </w:rPr>
        <w:t xml:space="preserve"> sia stato apportato alcun convincente elemento contrario – che l’ulteriore documentazione di cui s’è chiesto l’accesso non è stata da essa utilizzata per formare il provvedimento (delibera n. 19507 del 3.2.2016) peraltro ora direttamente impugnato in primo grado dalla </w:t>
      </w:r>
      <w:proofErr w:type="spellStart"/>
      <w:r w:rsidRPr="00694329">
        <w:rPr>
          <w:rFonts w:ascii="Tahoma" w:hAnsi="Tahoma" w:cs="Tahoma"/>
        </w:rPr>
        <w:t>Bluebell</w:t>
      </w:r>
      <w:proofErr w:type="spellEnd"/>
      <w:r w:rsidRPr="00694329">
        <w:rPr>
          <w:rFonts w:ascii="Tahoma" w:hAnsi="Tahoma" w:cs="Tahoma"/>
        </w:rPr>
        <w:t>;</w:t>
      </w:r>
      <w:r w:rsidRPr="00694329">
        <w:rPr>
          <w:rFonts w:ascii="Tahoma" w:hAnsi="Tahoma" w:cs="Tahoma"/>
        </w:rPr>
        <w:br/>
        <w:t>b) dall’altro lato, la parte che aspira ad accedere a tale documentazione neppure ha saputo indicare (al di là di una enunciazione) in cosa esattamente ed ulteriormente la conoscenza di detta documentazione gioverebbe ad una sua eventuale strategia difensiva nella contestazione del suddetto provvedimento.</w:t>
      </w:r>
      <w:r w:rsidRPr="00694329">
        <w:rPr>
          <w:rFonts w:ascii="Tahoma" w:hAnsi="Tahoma" w:cs="Tahoma"/>
        </w:rPr>
        <w:br/>
        <w:t>Al riguardo, può aggiungersi:</w:t>
      </w:r>
      <w:r w:rsidRPr="00694329">
        <w:rPr>
          <w:rFonts w:ascii="Tahoma" w:hAnsi="Tahoma" w:cs="Tahoma"/>
        </w:rPr>
        <w:br/>
        <w:t xml:space="preserve">- per un verso, quanto al profilo sub a), non convince la tesi espressa nella sentenza in scrutinio secondo la quale (relativamente al fatto che alcuni documenti pretesi non sarebbero stati, secondo quanto esposto dalla </w:t>
      </w:r>
      <w:proofErr w:type="spellStart"/>
      <w:r w:rsidRPr="00694329">
        <w:rPr>
          <w:rFonts w:ascii="Tahoma" w:hAnsi="Tahoma" w:cs="Tahoma"/>
        </w:rPr>
        <w:t>Consob</w:t>
      </w:r>
      <w:proofErr w:type="spellEnd"/>
      <w:r w:rsidRPr="00694329">
        <w:rPr>
          <w:rFonts w:ascii="Tahoma" w:hAnsi="Tahoma" w:cs="Tahoma"/>
        </w:rPr>
        <w:t>, alla base della sua decisione finale) la valutazione di rilevanza e pertinenza delle informazioni cercate, soprattutto nell'accesso c.d. defensionale, “è affidata al richiedente l'accesso, il quale rimane arbitro di decidere la propria strategia difensiva, extra processuale e processuale”. Questo perché – come già notato – siffatto orientamento può condurre la risultato, eccessivo, che colui che comunque ottenesse l’accesso (generalizzato) a tutta la documentazione in possesso dell’Amministrazione, anche a quella che non ha concorso a fondare l’adozione di un suo provvedimento finale, ben potrebbe alla fine non utilizzare a fini defensionali alcun elemento di detta documentazione. In tal modo, però, si determinerebbe una fattispecie di avvenuta conoscenza (della documentazione) non finalisticamente orientata a scopi di difesa e tuttavia estesa a dati ed informazioni né pertinenti (rispetto a tali scopi) né altrimenti meritevoli di cognizione da parte di chi ha domandato ed ottenuto l’accesso. In sostanza, non può ammettersi che colui che pretende l’accesso sia al tempo stesso arbitro incondizionato della valutazione della pertinenza o meno della documentazione desiderata rispetto alla tipologia e ai contenuti del procedimento relativamente al quale l’Amministrazione utilizza detta documentazione. Diversamente, risulterebbe sempre postuma la possibilità di una verifica della correttezza o meno (ad opera del privato) di detta valutazione mentre, all’opposto, dovrebbe essere previo il giudizio sulla effettiva pertinenza, o meno, della documentazione che si chiede rispetto alle esigenze di difesa proclamate dal privato;</w:t>
      </w:r>
      <w:r w:rsidRPr="00694329">
        <w:rPr>
          <w:rFonts w:ascii="Tahoma" w:hAnsi="Tahoma" w:cs="Tahoma"/>
        </w:rPr>
        <w:br/>
        <w:t xml:space="preserve">- per altro verso, quanto al profilo sub b), una pretesa di accesso a documentazione non adeguatamente circoscritta, per tipologia e soprattutto per contenuto, neppure risulta legittima, se è vero che “Non sono ammissibili istanze di accesso preordinate ad un controllo generalizzato dell'operato delle pubbliche amministrazioni” (art. 24, co. 3, della </w:t>
      </w:r>
      <w:proofErr w:type="spellStart"/>
      <w:r w:rsidRPr="00694329">
        <w:rPr>
          <w:rFonts w:ascii="Tahoma" w:hAnsi="Tahoma" w:cs="Tahoma"/>
        </w:rPr>
        <w:t>l.n</w:t>
      </w:r>
      <w:proofErr w:type="spellEnd"/>
      <w:r w:rsidRPr="00694329">
        <w:rPr>
          <w:rFonts w:ascii="Tahoma" w:hAnsi="Tahoma" w:cs="Tahoma"/>
        </w:rPr>
        <w:t xml:space="preserve">. 241/1990). Una non ammissibilità – quella </w:t>
      </w:r>
      <w:proofErr w:type="spellStart"/>
      <w:r w:rsidRPr="00694329">
        <w:rPr>
          <w:rFonts w:ascii="Tahoma" w:hAnsi="Tahoma" w:cs="Tahoma"/>
        </w:rPr>
        <w:t>testè</w:t>
      </w:r>
      <w:proofErr w:type="spellEnd"/>
      <w:r w:rsidRPr="00694329">
        <w:rPr>
          <w:rFonts w:ascii="Tahoma" w:hAnsi="Tahoma" w:cs="Tahoma"/>
        </w:rPr>
        <w:t xml:space="preserve"> ricordata – che nella legge è affermata in via assolutamente generale e senza deroghe o delimitazione alcuna eventualmente collegate al fatto che l’accesso sia chiesto per </w:t>
      </w:r>
      <w:r w:rsidRPr="00694329">
        <w:rPr>
          <w:rFonts w:ascii="Tahoma" w:hAnsi="Tahoma" w:cs="Tahoma"/>
        </w:rPr>
        <w:lastRenderedPageBreak/>
        <w:t xml:space="preserve">finalità defensionali. E questo si comprende agevolmente se solo si considera che, nel contesto logico-dispositivo di cui all’art. 24, co. 7, della </w:t>
      </w:r>
      <w:proofErr w:type="spellStart"/>
      <w:r w:rsidRPr="00694329">
        <w:rPr>
          <w:rFonts w:ascii="Tahoma" w:hAnsi="Tahoma" w:cs="Tahoma"/>
        </w:rPr>
        <w:t>l.n</w:t>
      </w:r>
      <w:proofErr w:type="spellEnd"/>
      <w:r w:rsidRPr="00694329">
        <w:rPr>
          <w:rFonts w:ascii="Tahoma" w:hAnsi="Tahoma" w:cs="Tahoma"/>
        </w:rPr>
        <w:t xml:space="preserve">. 241/1990, per giustificarsi un accesso idoneo a superare il limite del(l’altrui) dato sensibile o giudiziario, ovvero del dato </w:t>
      </w:r>
      <w:proofErr w:type="spellStart"/>
      <w:r w:rsidRPr="00694329">
        <w:rPr>
          <w:rFonts w:ascii="Tahoma" w:hAnsi="Tahoma" w:cs="Tahoma"/>
        </w:rPr>
        <w:t>supersensibile</w:t>
      </w:r>
      <w:proofErr w:type="spellEnd"/>
      <w:r w:rsidRPr="00694329">
        <w:rPr>
          <w:rFonts w:ascii="Tahoma" w:hAnsi="Tahoma" w:cs="Tahoma"/>
        </w:rPr>
        <w:t>, è pur sempre necessario l’apprezzamento del parametro della stretta indispensabilità. Un parametro che, tuttavia, in tanto è riscontrabile in quanto la documentazione desiderata non venga chiesta in forma massiva ed indistinta.</w:t>
      </w:r>
      <w:r w:rsidRPr="00694329">
        <w:rPr>
          <w:rFonts w:ascii="Tahoma" w:hAnsi="Tahoma" w:cs="Tahoma"/>
        </w:rPr>
        <w:br/>
        <w:t xml:space="preserve">9. In ultima analisi, come detto, il ricorso principale in epigrafe è fondato e merita accoglimento e, per l’effetto, in parziale riforma della sentenza impugnata, confermata comunque la pronuncia di improcedibilità dell’originario ricorso di primo grado, devono essere respinti i motivi aggiunti proposti da </w:t>
      </w:r>
      <w:proofErr w:type="spellStart"/>
      <w:r w:rsidRPr="00694329">
        <w:rPr>
          <w:rFonts w:ascii="Tahoma" w:hAnsi="Tahoma" w:cs="Tahoma"/>
        </w:rPr>
        <w:t>Bluebell</w:t>
      </w:r>
      <w:proofErr w:type="spellEnd"/>
      <w:r w:rsidRPr="00694329">
        <w:rPr>
          <w:rFonts w:ascii="Tahoma" w:hAnsi="Tahoma" w:cs="Tahoma"/>
        </w:rPr>
        <w:t xml:space="preserve"> sempre in primo grado, con conseguente con assorbimento dei motivi di appello incidentale formulati da HRII e da Finmeccanica.</w:t>
      </w:r>
      <w:r w:rsidRPr="00694329">
        <w:rPr>
          <w:rFonts w:ascii="Tahoma" w:hAnsi="Tahoma" w:cs="Tahoma"/>
        </w:rPr>
        <w:br/>
        <w:t>Considerati anche i tratti di parziale novità delle questioni affrontate, ricorrono giustificati motivi per compensare integralmente fra le parti le spese del doppio grado di giudizio.</w:t>
      </w:r>
    </w:p>
    <w:p w:rsidR="0078361C" w:rsidRPr="00694329" w:rsidRDefault="0078361C" w:rsidP="0078361C">
      <w:pPr>
        <w:rPr>
          <w:rFonts w:ascii="Tahoma" w:hAnsi="Tahoma" w:cs="Tahoma"/>
        </w:rPr>
      </w:pPr>
      <w:r w:rsidRPr="00694329">
        <w:rPr>
          <w:rFonts w:ascii="Tahoma" w:hAnsi="Tahoma" w:cs="Tahoma"/>
        </w:rPr>
        <w:t>P.Q.M.</w:t>
      </w:r>
    </w:p>
    <w:p w:rsidR="0078361C" w:rsidRPr="00694329" w:rsidRDefault="0078361C" w:rsidP="0078361C">
      <w:pPr>
        <w:rPr>
          <w:rFonts w:ascii="Tahoma" w:hAnsi="Tahoma" w:cs="Tahoma"/>
        </w:rPr>
      </w:pPr>
      <w:r w:rsidRPr="00694329">
        <w:rPr>
          <w:rFonts w:ascii="Tahoma" w:hAnsi="Tahoma" w:cs="Tahoma"/>
        </w:rPr>
        <w:t xml:space="preserve">Il Consiglio di Stato in sede giurisdizionale (Sezione Sesta), definitivamente pronunciando sull'appello, come in epigrafe proposto, respinge l’appello incidentale della </w:t>
      </w:r>
      <w:proofErr w:type="spellStart"/>
      <w:r w:rsidRPr="00694329">
        <w:rPr>
          <w:rFonts w:ascii="Tahoma" w:hAnsi="Tahoma" w:cs="Tahoma"/>
        </w:rPr>
        <w:t>Bluebell</w:t>
      </w:r>
      <w:proofErr w:type="spellEnd"/>
      <w:r w:rsidRPr="00694329">
        <w:rPr>
          <w:rFonts w:ascii="Tahoma" w:hAnsi="Tahoma" w:cs="Tahoma"/>
        </w:rPr>
        <w:t xml:space="preserve"> </w:t>
      </w:r>
      <w:proofErr w:type="spellStart"/>
      <w:r w:rsidRPr="00694329">
        <w:rPr>
          <w:rFonts w:ascii="Tahoma" w:hAnsi="Tahoma" w:cs="Tahoma"/>
        </w:rPr>
        <w:t>Partners</w:t>
      </w:r>
      <w:proofErr w:type="spellEnd"/>
      <w:r w:rsidRPr="00694329">
        <w:rPr>
          <w:rFonts w:ascii="Tahoma" w:hAnsi="Tahoma" w:cs="Tahoma"/>
        </w:rPr>
        <w:t xml:space="preserve"> Limited ed accoglie l’appello principale della Commissione nazionale per le società e la borsa, per l’effetto, in parziale riforma della sentenza impugnata, confermata comunque la pronuncia di improcedibilità dell’originario ricorso di primo grado, respingendo i motivi aggiunti proposti dalla </w:t>
      </w:r>
      <w:proofErr w:type="spellStart"/>
      <w:r w:rsidRPr="00694329">
        <w:rPr>
          <w:rFonts w:ascii="Tahoma" w:hAnsi="Tahoma" w:cs="Tahoma"/>
        </w:rPr>
        <w:t>Bluebell</w:t>
      </w:r>
      <w:proofErr w:type="spellEnd"/>
      <w:r w:rsidRPr="00694329">
        <w:rPr>
          <w:rFonts w:ascii="Tahoma" w:hAnsi="Tahoma" w:cs="Tahoma"/>
        </w:rPr>
        <w:t xml:space="preserve"> </w:t>
      </w:r>
      <w:proofErr w:type="spellStart"/>
      <w:r w:rsidRPr="00694329">
        <w:rPr>
          <w:rFonts w:ascii="Tahoma" w:hAnsi="Tahoma" w:cs="Tahoma"/>
        </w:rPr>
        <w:t>Partners</w:t>
      </w:r>
      <w:proofErr w:type="spellEnd"/>
      <w:r w:rsidRPr="00694329">
        <w:rPr>
          <w:rFonts w:ascii="Tahoma" w:hAnsi="Tahoma" w:cs="Tahoma"/>
        </w:rPr>
        <w:t xml:space="preserve"> Limited sempre in primo grado, con conseguente con assorbimento dei motivi di appello incidentale formulati dalla Hitachi </w:t>
      </w:r>
      <w:proofErr w:type="spellStart"/>
      <w:r w:rsidRPr="00694329">
        <w:rPr>
          <w:rFonts w:ascii="Tahoma" w:hAnsi="Tahoma" w:cs="Tahoma"/>
        </w:rPr>
        <w:t>Rail</w:t>
      </w:r>
      <w:proofErr w:type="spellEnd"/>
      <w:r w:rsidRPr="00694329">
        <w:rPr>
          <w:rFonts w:ascii="Tahoma" w:hAnsi="Tahoma" w:cs="Tahoma"/>
        </w:rPr>
        <w:t xml:space="preserve"> </w:t>
      </w:r>
      <w:proofErr w:type="spellStart"/>
      <w:r w:rsidRPr="00694329">
        <w:rPr>
          <w:rFonts w:ascii="Tahoma" w:hAnsi="Tahoma" w:cs="Tahoma"/>
        </w:rPr>
        <w:t>Italy</w:t>
      </w:r>
      <w:proofErr w:type="spellEnd"/>
      <w:r w:rsidRPr="00694329">
        <w:rPr>
          <w:rFonts w:ascii="Tahoma" w:hAnsi="Tahoma" w:cs="Tahoma"/>
        </w:rPr>
        <w:t xml:space="preserve"> Investments s.r.l. e da Finmeccanica </w:t>
      </w:r>
      <w:proofErr w:type="spellStart"/>
      <w:r w:rsidRPr="00694329">
        <w:rPr>
          <w:rFonts w:ascii="Tahoma" w:hAnsi="Tahoma" w:cs="Tahoma"/>
        </w:rPr>
        <w:t>s.p.a.</w:t>
      </w:r>
      <w:proofErr w:type="spellEnd"/>
      <w:r w:rsidRPr="00694329">
        <w:rPr>
          <w:rFonts w:ascii="Tahoma" w:hAnsi="Tahoma" w:cs="Tahoma"/>
        </w:rPr>
        <w:t>.</w:t>
      </w:r>
      <w:r w:rsidRPr="00694329">
        <w:rPr>
          <w:rFonts w:ascii="Tahoma" w:hAnsi="Tahoma" w:cs="Tahoma"/>
        </w:rPr>
        <w:br/>
        <w:t>Spese compensate.</w:t>
      </w:r>
      <w:r w:rsidRPr="00694329">
        <w:rPr>
          <w:rFonts w:ascii="Tahoma" w:hAnsi="Tahoma" w:cs="Tahoma"/>
        </w:rPr>
        <w:br/>
        <w:t>Ordina che la presente sentenza sia eseguita dall'autorità amministrativa.</w:t>
      </w:r>
      <w:r w:rsidRPr="00694329">
        <w:rPr>
          <w:rFonts w:ascii="Tahoma" w:hAnsi="Tahoma" w:cs="Tahoma"/>
        </w:rPr>
        <w:br/>
        <w:t>Così deciso in Roma nella camera di consiglio del giorno 9 marzo 2017 con l'intervento dei magistrati:</w:t>
      </w:r>
      <w:r w:rsidRPr="00694329">
        <w:rPr>
          <w:rFonts w:ascii="Tahoma" w:hAnsi="Tahoma" w:cs="Tahoma"/>
        </w:rPr>
        <w:br/>
        <w:t>Sergio Santoro, Presidente</w:t>
      </w:r>
      <w:r w:rsidRPr="00694329">
        <w:rPr>
          <w:rFonts w:ascii="Tahoma" w:hAnsi="Tahoma" w:cs="Tahoma"/>
        </w:rPr>
        <w:br/>
        <w:t>Silvestro Maria Russo, Consigliere</w:t>
      </w:r>
      <w:r w:rsidRPr="00694329">
        <w:rPr>
          <w:rFonts w:ascii="Tahoma" w:hAnsi="Tahoma" w:cs="Tahoma"/>
        </w:rPr>
        <w:br/>
        <w:t xml:space="preserve">Vincenzo </w:t>
      </w:r>
      <w:proofErr w:type="spellStart"/>
      <w:r w:rsidRPr="00694329">
        <w:rPr>
          <w:rFonts w:ascii="Tahoma" w:hAnsi="Tahoma" w:cs="Tahoma"/>
        </w:rPr>
        <w:t>Lopilato</w:t>
      </w:r>
      <w:proofErr w:type="spellEnd"/>
      <w:r w:rsidRPr="00694329">
        <w:rPr>
          <w:rFonts w:ascii="Tahoma" w:hAnsi="Tahoma" w:cs="Tahoma"/>
        </w:rPr>
        <w:t>, Consigliere</w:t>
      </w:r>
      <w:r w:rsidRPr="00694329">
        <w:rPr>
          <w:rFonts w:ascii="Tahoma" w:hAnsi="Tahoma" w:cs="Tahoma"/>
        </w:rPr>
        <w:br/>
        <w:t>Francesco Mele, Consigliere</w:t>
      </w:r>
      <w:r w:rsidRPr="00694329">
        <w:rPr>
          <w:rFonts w:ascii="Tahoma" w:hAnsi="Tahoma" w:cs="Tahoma"/>
        </w:rPr>
        <w:br/>
        <w:t>Italo Volpe, Consigliere, Estensore</w:t>
      </w:r>
    </w:p>
    <w:p w:rsidR="0078361C" w:rsidRPr="00694329" w:rsidRDefault="0078361C" w:rsidP="0078361C">
      <w:pPr>
        <w:spacing w:after="225" w:line="240" w:lineRule="auto"/>
        <w:outlineLvl w:val="1"/>
        <w:rPr>
          <w:rFonts w:ascii="Tahoma" w:eastAsia="Times New Roman" w:hAnsi="Tahoma" w:cs="Tahoma"/>
          <w:b/>
          <w:bCs/>
          <w:caps/>
          <w:color w:val="000000"/>
          <w:sz w:val="26"/>
          <w:szCs w:val="26"/>
          <w:lang w:eastAsia="it-IT"/>
        </w:rPr>
      </w:pPr>
    </w:p>
    <w:p w:rsidR="0078361C" w:rsidRPr="00694329" w:rsidRDefault="0078361C" w:rsidP="0078361C">
      <w:pPr>
        <w:spacing w:after="225" w:line="240" w:lineRule="auto"/>
        <w:outlineLvl w:val="1"/>
        <w:rPr>
          <w:rFonts w:ascii="Tahoma" w:eastAsia="Times New Roman" w:hAnsi="Tahoma" w:cs="Tahoma"/>
          <w:b/>
          <w:bCs/>
          <w:caps/>
          <w:color w:val="000000"/>
          <w:sz w:val="26"/>
          <w:szCs w:val="26"/>
          <w:lang w:eastAsia="it-IT"/>
        </w:rPr>
      </w:pPr>
    </w:p>
    <w:p w:rsidR="0078361C" w:rsidRPr="00694329" w:rsidRDefault="0078361C" w:rsidP="0078361C">
      <w:pPr>
        <w:spacing w:after="225" w:line="240" w:lineRule="auto"/>
        <w:outlineLvl w:val="1"/>
        <w:rPr>
          <w:rFonts w:ascii="Tahoma" w:eastAsia="Times New Roman" w:hAnsi="Tahoma" w:cs="Tahoma"/>
          <w:b/>
          <w:bCs/>
          <w:caps/>
          <w:color w:val="000000"/>
          <w:sz w:val="26"/>
          <w:szCs w:val="26"/>
          <w:lang w:eastAsia="it-IT"/>
        </w:rPr>
      </w:pPr>
    </w:p>
    <w:p w:rsidR="0078361C" w:rsidRPr="00694329" w:rsidRDefault="0078361C" w:rsidP="0078361C">
      <w:pPr>
        <w:spacing w:after="225" w:line="240" w:lineRule="auto"/>
        <w:outlineLvl w:val="1"/>
        <w:rPr>
          <w:rFonts w:ascii="Tahoma" w:eastAsia="Times New Roman" w:hAnsi="Tahoma" w:cs="Tahoma"/>
          <w:b/>
          <w:bCs/>
          <w:caps/>
          <w:color w:val="000000"/>
          <w:sz w:val="26"/>
          <w:szCs w:val="26"/>
          <w:lang w:eastAsia="it-IT"/>
        </w:rPr>
      </w:pPr>
    </w:p>
    <w:p w:rsidR="0078361C" w:rsidRPr="00694329" w:rsidRDefault="0078361C" w:rsidP="0078361C">
      <w:pPr>
        <w:spacing w:after="225" w:line="240" w:lineRule="auto"/>
        <w:outlineLvl w:val="1"/>
        <w:rPr>
          <w:rFonts w:ascii="Tahoma" w:eastAsia="Times New Roman" w:hAnsi="Tahoma" w:cs="Tahoma"/>
          <w:b/>
          <w:bCs/>
          <w:caps/>
          <w:color w:val="000000"/>
          <w:sz w:val="26"/>
          <w:szCs w:val="26"/>
          <w:lang w:eastAsia="it-IT"/>
        </w:rPr>
      </w:pPr>
    </w:p>
    <w:p w:rsidR="0078361C" w:rsidRPr="00694329" w:rsidRDefault="0078361C" w:rsidP="0078361C">
      <w:pPr>
        <w:spacing w:after="225" w:line="240" w:lineRule="auto"/>
        <w:outlineLvl w:val="1"/>
        <w:rPr>
          <w:rFonts w:ascii="Tahoma" w:eastAsia="Times New Roman" w:hAnsi="Tahoma" w:cs="Tahoma"/>
          <w:b/>
          <w:bCs/>
          <w:caps/>
          <w:color w:val="000000"/>
          <w:sz w:val="26"/>
          <w:szCs w:val="26"/>
          <w:lang w:eastAsia="it-IT"/>
        </w:rPr>
      </w:pPr>
    </w:p>
    <w:p w:rsidR="0078361C" w:rsidRDefault="0078361C" w:rsidP="0078361C">
      <w:pPr>
        <w:spacing w:after="225" w:line="240" w:lineRule="auto"/>
        <w:outlineLvl w:val="1"/>
        <w:rPr>
          <w:rFonts w:ascii="PT Serif" w:eastAsia="Times New Roman" w:hAnsi="PT Serif" w:cs="Arial"/>
          <w:b/>
          <w:bCs/>
          <w:caps/>
          <w:color w:val="000000"/>
          <w:sz w:val="26"/>
          <w:szCs w:val="26"/>
          <w:lang w:eastAsia="it-IT"/>
        </w:rPr>
      </w:pPr>
    </w:p>
    <w:p w:rsidR="0078361C" w:rsidRDefault="0078361C" w:rsidP="0078361C">
      <w:pPr>
        <w:spacing w:after="225" w:line="240" w:lineRule="auto"/>
        <w:outlineLvl w:val="1"/>
        <w:rPr>
          <w:rFonts w:ascii="PT Serif" w:eastAsia="Times New Roman" w:hAnsi="PT Serif" w:cs="Arial"/>
          <w:b/>
          <w:bCs/>
          <w:caps/>
          <w:color w:val="000000"/>
          <w:sz w:val="26"/>
          <w:szCs w:val="26"/>
          <w:lang w:eastAsia="it-IT"/>
        </w:rPr>
      </w:pPr>
    </w:p>
    <w:p w:rsidR="0078361C" w:rsidRDefault="0078361C" w:rsidP="0078361C">
      <w:pPr>
        <w:spacing w:after="225" w:line="240" w:lineRule="auto"/>
        <w:outlineLvl w:val="1"/>
        <w:rPr>
          <w:rFonts w:ascii="PT Serif" w:eastAsia="Times New Roman" w:hAnsi="PT Serif" w:cs="Arial"/>
          <w:b/>
          <w:bCs/>
          <w:caps/>
          <w:color w:val="000000"/>
          <w:sz w:val="26"/>
          <w:szCs w:val="26"/>
          <w:lang w:eastAsia="it-IT"/>
        </w:rPr>
      </w:pPr>
    </w:p>
    <w:p w:rsidR="0078361C" w:rsidRDefault="0078361C" w:rsidP="0078361C">
      <w:pPr>
        <w:spacing w:after="225" w:line="240" w:lineRule="auto"/>
        <w:outlineLvl w:val="1"/>
        <w:rPr>
          <w:rFonts w:ascii="PT Serif" w:eastAsia="Times New Roman" w:hAnsi="PT Serif" w:cs="Arial"/>
          <w:b/>
          <w:bCs/>
          <w:caps/>
          <w:color w:val="000000"/>
          <w:sz w:val="26"/>
          <w:szCs w:val="26"/>
          <w:lang w:eastAsia="it-IT"/>
        </w:rPr>
      </w:pPr>
    </w:p>
    <w:p w:rsidR="0078361C" w:rsidRDefault="0078361C" w:rsidP="0078361C">
      <w:pPr>
        <w:spacing w:after="225" w:line="240" w:lineRule="auto"/>
        <w:outlineLvl w:val="1"/>
        <w:rPr>
          <w:rFonts w:ascii="PT Serif" w:eastAsia="Times New Roman" w:hAnsi="PT Serif" w:cs="Arial"/>
          <w:b/>
          <w:bCs/>
          <w:caps/>
          <w:color w:val="000000"/>
          <w:sz w:val="26"/>
          <w:szCs w:val="26"/>
          <w:lang w:eastAsia="it-IT"/>
        </w:rPr>
      </w:pPr>
    </w:p>
    <w:p w:rsidR="0078361C" w:rsidRDefault="0078361C" w:rsidP="0078361C">
      <w:pPr>
        <w:spacing w:after="225" w:line="240" w:lineRule="auto"/>
        <w:outlineLvl w:val="1"/>
        <w:rPr>
          <w:rFonts w:ascii="PT Serif" w:eastAsia="Times New Roman" w:hAnsi="PT Serif" w:cs="Arial"/>
          <w:b/>
          <w:bCs/>
          <w:caps/>
          <w:color w:val="000000"/>
          <w:sz w:val="26"/>
          <w:szCs w:val="26"/>
          <w:lang w:eastAsia="it-IT"/>
        </w:rPr>
      </w:pPr>
    </w:p>
    <w:p w:rsidR="0078361C" w:rsidRDefault="0078361C" w:rsidP="0078361C">
      <w:pPr>
        <w:spacing w:after="225" w:line="240" w:lineRule="auto"/>
        <w:outlineLvl w:val="1"/>
        <w:rPr>
          <w:rFonts w:ascii="PT Serif" w:eastAsia="Times New Roman" w:hAnsi="PT Serif" w:cs="Arial"/>
          <w:b/>
          <w:bCs/>
          <w:caps/>
          <w:color w:val="000000"/>
          <w:sz w:val="26"/>
          <w:szCs w:val="26"/>
          <w:lang w:eastAsia="it-IT"/>
        </w:rPr>
      </w:pPr>
    </w:p>
    <w:p w:rsidR="0078361C" w:rsidRPr="0078361C" w:rsidRDefault="0078361C" w:rsidP="0078361C">
      <w:pPr>
        <w:spacing w:after="265" w:line="240" w:lineRule="auto"/>
        <w:jc w:val="right"/>
        <w:rPr>
          <w:rFonts w:ascii="Tahoma" w:eastAsia="Times New Roman" w:hAnsi="Tahoma" w:cs="Tahoma"/>
          <w:color w:val="3D3B39"/>
          <w:lang w:eastAsia="it-IT"/>
        </w:rPr>
      </w:pPr>
      <w:r w:rsidRPr="0078361C">
        <w:rPr>
          <w:rFonts w:ascii="PT Serif" w:eastAsia="Times New Roman" w:hAnsi="PT Serif" w:cs="Arial"/>
          <w:color w:val="3D3B39"/>
          <w:sz w:val="21"/>
          <w:szCs w:val="21"/>
          <w:lang w:eastAsia="it-IT"/>
        </w:rPr>
        <w:br/>
      </w:r>
      <w:r w:rsidRPr="0078361C">
        <w:rPr>
          <w:rFonts w:ascii="Tahoma" w:eastAsia="Times New Roman" w:hAnsi="Tahoma" w:cs="Tahoma"/>
          <w:color w:val="3D3B39"/>
          <w:lang w:eastAsia="it-IT"/>
        </w:rPr>
        <w:t>N. 01370/2017REG.PROV.COLL.</w:t>
      </w:r>
      <w:r w:rsidRPr="0078361C">
        <w:rPr>
          <w:rFonts w:ascii="Tahoma" w:eastAsia="Times New Roman" w:hAnsi="Tahoma" w:cs="Tahoma"/>
          <w:color w:val="3D3B39"/>
          <w:lang w:eastAsia="it-IT"/>
        </w:rPr>
        <w:br/>
        <w:t>N. 05772/2016 REG.RIC.</w:t>
      </w:r>
    </w:p>
    <w:p w:rsidR="0078361C" w:rsidRPr="0078361C" w:rsidRDefault="0078361C" w:rsidP="0078361C">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b/>
          <w:bCs/>
          <w:color w:val="3D3B39"/>
          <w:lang w:eastAsia="it-IT"/>
        </w:rPr>
        <w:t>REPUBBLICA ITALIANA</w:t>
      </w:r>
      <w:r w:rsidRPr="0078361C">
        <w:rPr>
          <w:rFonts w:ascii="Tahoma" w:eastAsia="Times New Roman" w:hAnsi="Tahoma" w:cs="Tahoma"/>
          <w:b/>
          <w:bCs/>
          <w:color w:val="3D3B39"/>
          <w:lang w:eastAsia="it-IT"/>
        </w:rPr>
        <w:br/>
      </w:r>
      <w:r w:rsidRPr="00247A22">
        <w:rPr>
          <w:rFonts w:ascii="Tahoma" w:eastAsia="Times New Roman" w:hAnsi="Tahoma" w:cs="Tahoma"/>
          <w:b/>
          <w:bCs/>
          <w:color w:val="3D3B39"/>
          <w:lang w:eastAsia="it-IT"/>
        </w:rPr>
        <w:t>IN NOME DEL POPOLO ITALIANO</w:t>
      </w:r>
      <w:r w:rsidRPr="0078361C">
        <w:rPr>
          <w:rFonts w:ascii="Tahoma" w:eastAsia="Times New Roman" w:hAnsi="Tahoma" w:cs="Tahoma"/>
          <w:b/>
          <w:bCs/>
          <w:color w:val="3D3B39"/>
          <w:lang w:eastAsia="it-IT"/>
        </w:rPr>
        <w:br/>
      </w:r>
      <w:r w:rsidRPr="0078361C">
        <w:rPr>
          <w:rFonts w:ascii="Tahoma" w:eastAsia="Times New Roman" w:hAnsi="Tahoma" w:cs="Tahoma"/>
          <w:color w:val="3D3B39"/>
          <w:lang w:eastAsia="it-IT"/>
        </w:rPr>
        <w:br/>
        <w:t>Il Consiglio di Stato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in sede giurisdizionale (Sezione Quinta)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ha pronunciato la presente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r>
      <w:r w:rsidRPr="00247A22">
        <w:rPr>
          <w:rFonts w:ascii="Tahoma" w:eastAsia="Times New Roman" w:hAnsi="Tahoma" w:cs="Tahoma"/>
          <w:b/>
          <w:bCs/>
          <w:color w:val="3D3B39"/>
          <w:lang w:eastAsia="it-IT"/>
        </w:rPr>
        <w:t>SENTENZA</w:t>
      </w:r>
    </w:p>
    <w:p w:rsidR="0078361C" w:rsidRPr="0078361C" w:rsidRDefault="0078361C" w:rsidP="0078361C">
      <w:pPr>
        <w:spacing w:after="265" w:line="240" w:lineRule="auto"/>
        <w:rPr>
          <w:rFonts w:ascii="Tahoma" w:eastAsia="Times New Roman" w:hAnsi="Tahoma" w:cs="Tahoma"/>
          <w:color w:val="3D3B39"/>
          <w:lang w:eastAsia="it-IT"/>
        </w:rPr>
      </w:pPr>
      <w:r w:rsidRPr="0078361C">
        <w:rPr>
          <w:rFonts w:ascii="Tahoma" w:eastAsia="Times New Roman" w:hAnsi="Tahoma" w:cs="Tahoma"/>
          <w:color w:val="3D3B39"/>
          <w:lang w:eastAsia="it-IT"/>
        </w:rPr>
        <w:t xml:space="preserve">sul ricorso numero di registro generale 5772 del 2016, proposto da: </w:t>
      </w:r>
      <w:r w:rsidRPr="0078361C">
        <w:rPr>
          <w:rFonts w:ascii="Tahoma" w:eastAsia="Times New Roman" w:hAnsi="Tahoma" w:cs="Tahoma"/>
          <w:color w:val="3D3B39"/>
          <w:lang w:eastAsia="it-IT"/>
        </w:rPr>
        <w:br/>
        <w:t xml:space="preserve">Alfredo Grassi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in persona del legale rappresentante pro tempore, in proprio e in qualità di mandataria della costituenda ATI,</w:t>
      </w:r>
      <w:r w:rsidRPr="0078361C">
        <w:rPr>
          <w:rFonts w:ascii="Tahoma" w:eastAsia="Times New Roman" w:hAnsi="Tahoma" w:cs="Tahoma"/>
          <w:color w:val="3D3B39"/>
          <w:lang w:eastAsia="it-IT"/>
        </w:rPr>
        <w:br/>
      </w:r>
      <w:proofErr w:type="spellStart"/>
      <w:r w:rsidRPr="0078361C">
        <w:rPr>
          <w:rFonts w:ascii="Tahoma" w:eastAsia="Times New Roman" w:hAnsi="Tahoma" w:cs="Tahoma"/>
          <w:color w:val="3D3B39"/>
          <w:lang w:eastAsia="it-IT"/>
        </w:rPr>
        <w:t>Marawash</w:t>
      </w:r>
      <w:proofErr w:type="spellEnd"/>
      <w:r w:rsidRPr="0078361C">
        <w:rPr>
          <w:rFonts w:ascii="Tahoma" w:eastAsia="Times New Roman" w:hAnsi="Tahoma" w:cs="Tahoma"/>
          <w:color w:val="3D3B39"/>
          <w:lang w:eastAsia="it-IT"/>
        </w:rPr>
        <w:t xml:space="preserve"> s.r.l., in persona del legale rappresentante pro tempore, in proprio e quale mandante della costituenda ATI,</w:t>
      </w:r>
      <w:r w:rsidRPr="0078361C">
        <w:rPr>
          <w:rFonts w:ascii="Tahoma" w:eastAsia="Times New Roman" w:hAnsi="Tahoma" w:cs="Tahoma"/>
          <w:color w:val="3D3B39"/>
          <w:lang w:eastAsia="it-IT"/>
        </w:rPr>
        <w:br/>
        <w:t xml:space="preserve">entrambe rappresentate e difese dagli avvocati Stefano Soncini e Gabriele Di Paolo, con domicilio eletto presso lo studio di quest’ultimo in Roma, viale Liegi, 35/B;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contro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Veritas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in persona del legale rappresentante pro tempore, rappresentata e difesa dagli avvocati Franco Zambelli e Mario Ettore Verino, con domicilio eletto presso lo studio di quest’ultimo in Roma, via Barnaba Tortolini, 13;</w:t>
      </w:r>
      <w:r w:rsidRPr="0078361C">
        <w:rPr>
          <w:rFonts w:ascii="Tahoma" w:eastAsia="Times New Roman" w:hAnsi="Tahoma" w:cs="Tahoma"/>
          <w:color w:val="3D3B39"/>
          <w:lang w:eastAsia="it-IT"/>
        </w:rPr>
        <w:br/>
        <w:t xml:space="preserve">Lavanderie dell'Alto Adige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in persona del legale rappresentante pro tempore, rappresentata e difesa dall'avvocato Giovanni </w:t>
      </w:r>
      <w:proofErr w:type="spellStart"/>
      <w:r w:rsidRPr="0078361C">
        <w:rPr>
          <w:rFonts w:ascii="Tahoma" w:eastAsia="Times New Roman" w:hAnsi="Tahoma" w:cs="Tahoma"/>
          <w:color w:val="3D3B39"/>
          <w:lang w:eastAsia="it-IT"/>
        </w:rPr>
        <w:t>Gulina</w:t>
      </w:r>
      <w:proofErr w:type="spellEnd"/>
      <w:r w:rsidRPr="0078361C">
        <w:rPr>
          <w:rFonts w:ascii="Tahoma" w:eastAsia="Times New Roman" w:hAnsi="Tahoma" w:cs="Tahoma"/>
          <w:color w:val="3D3B39"/>
          <w:lang w:eastAsia="it-IT"/>
        </w:rPr>
        <w:t>, con domicilio eletto presso lo studio legale dell’avvocato Enrico Bracco in Roma, via Flaminia Vecchia, 732/D;</w:t>
      </w:r>
      <w:r w:rsidRPr="0078361C">
        <w:rPr>
          <w:rFonts w:ascii="Tahoma" w:eastAsia="Times New Roman" w:hAnsi="Tahoma" w:cs="Tahoma"/>
          <w:color w:val="3D3B39"/>
          <w:lang w:eastAsia="it-IT"/>
        </w:rPr>
        <w:br/>
        <w:t xml:space="preserve">Alisea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in persona del legale rappresentante pro tempore, non costituita in giudizio; </w:t>
      </w:r>
      <w:r w:rsidRPr="0078361C">
        <w:rPr>
          <w:rFonts w:ascii="Tahoma" w:eastAsia="Times New Roman" w:hAnsi="Tahoma" w:cs="Tahoma"/>
          <w:color w:val="3D3B39"/>
          <w:lang w:eastAsia="it-IT"/>
        </w:rPr>
        <w:br/>
      </w:r>
      <w:proofErr w:type="spellStart"/>
      <w:r w:rsidRPr="0078361C">
        <w:rPr>
          <w:rFonts w:ascii="Tahoma" w:eastAsia="Times New Roman" w:hAnsi="Tahoma" w:cs="Tahoma"/>
          <w:color w:val="3D3B39"/>
          <w:lang w:eastAsia="it-IT"/>
        </w:rPr>
        <w:t>Asvo</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in persona del legale rappresentante pro tempore, non costituita in giudizio; </w:t>
      </w:r>
      <w:r w:rsidRPr="0078361C">
        <w:rPr>
          <w:rFonts w:ascii="Tahoma" w:eastAsia="Times New Roman" w:hAnsi="Tahoma" w:cs="Tahoma"/>
          <w:color w:val="3D3B39"/>
          <w:lang w:eastAsia="it-IT"/>
        </w:rPr>
        <w:br/>
        <w:t xml:space="preserve">Ambiente e Servizi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in persona del legale rappresentante pro tempore, non costituita in giudizio; </w:t>
      </w:r>
      <w:r w:rsidRPr="0078361C">
        <w:rPr>
          <w:rFonts w:ascii="Tahoma" w:eastAsia="Times New Roman" w:hAnsi="Tahoma" w:cs="Tahoma"/>
          <w:color w:val="3D3B39"/>
          <w:lang w:eastAsia="it-IT"/>
        </w:rPr>
        <w:br/>
        <w:t xml:space="preserve">Net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in persona del legale rappresentante pro tempore, non costituita in giudizio;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per la riforma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della sentenza del T.A.R. VENETO - VENEZIA: SEZIONE I n. 00333/2016, resa tra le parti, concernente l’affidamento del servizio di noleggio e lavaggio indumenti da lavoro – risarcimento danni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Visti il ricorso in appello e i relativi allegati;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lastRenderedPageBreak/>
        <w:br/>
        <w:t>Visti gli atti di costituzione in giudizio di Veritas Spa e di Lavanderie dell'Alto Adige Spa;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Viste le memorie difensive;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Visti tutti gli atti della causa;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Relatore nell'udienza pubblica del giorno 9 febbraio 2017 il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xml:space="preserve">. Valerio Perotti e uditi per le parti gli avvocati Gabriele Di Paolo, Franco Zambelli e, su delega dell'avv. </w:t>
      </w:r>
      <w:proofErr w:type="spellStart"/>
      <w:r w:rsidRPr="0078361C">
        <w:rPr>
          <w:rFonts w:ascii="Tahoma" w:eastAsia="Times New Roman" w:hAnsi="Tahoma" w:cs="Tahoma"/>
          <w:color w:val="3D3B39"/>
          <w:lang w:eastAsia="it-IT"/>
        </w:rPr>
        <w:t>Gulina</w:t>
      </w:r>
      <w:proofErr w:type="spellEnd"/>
      <w:r w:rsidRPr="0078361C">
        <w:rPr>
          <w:rFonts w:ascii="Tahoma" w:eastAsia="Times New Roman" w:hAnsi="Tahoma" w:cs="Tahoma"/>
          <w:color w:val="3D3B39"/>
          <w:lang w:eastAsia="it-IT"/>
        </w:rPr>
        <w:t>, Enrico Bracco;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Ritenuto e considerato in fatto e diritto quanto segue.</w:t>
      </w:r>
    </w:p>
    <w:p w:rsidR="0078361C" w:rsidRPr="0078361C" w:rsidRDefault="0078361C" w:rsidP="0078361C">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b/>
          <w:bCs/>
          <w:color w:val="3D3B39"/>
          <w:lang w:eastAsia="it-IT"/>
        </w:rPr>
        <w:t>FATTO</w:t>
      </w:r>
    </w:p>
    <w:p w:rsidR="0078361C" w:rsidRPr="0078361C" w:rsidRDefault="0078361C" w:rsidP="0078361C">
      <w:pPr>
        <w:spacing w:after="265" w:line="240" w:lineRule="auto"/>
        <w:rPr>
          <w:rFonts w:ascii="Tahoma" w:eastAsia="Times New Roman" w:hAnsi="Tahoma" w:cs="Tahoma"/>
          <w:color w:val="3D3B39"/>
          <w:lang w:eastAsia="it-IT"/>
        </w:rPr>
      </w:pPr>
      <w:r w:rsidRPr="0078361C">
        <w:rPr>
          <w:rFonts w:ascii="Tahoma" w:eastAsia="Times New Roman" w:hAnsi="Tahoma" w:cs="Tahoma"/>
          <w:color w:val="3D3B39"/>
          <w:lang w:eastAsia="it-IT"/>
        </w:rPr>
        <w:t xml:space="preserve">Risulta dagli atti che l’appellante Alfredo Grassi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partecipava, in qualità di mandataria del costituendo RTI con </w:t>
      </w:r>
      <w:proofErr w:type="spellStart"/>
      <w:r w:rsidRPr="0078361C">
        <w:rPr>
          <w:rFonts w:ascii="Tahoma" w:eastAsia="Times New Roman" w:hAnsi="Tahoma" w:cs="Tahoma"/>
          <w:color w:val="3D3B39"/>
          <w:lang w:eastAsia="it-IT"/>
        </w:rPr>
        <w:t>Marawash</w:t>
      </w:r>
      <w:proofErr w:type="spellEnd"/>
      <w:r w:rsidRPr="0078361C">
        <w:rPr>
          <w:rFonts w:ascii="Tahoma" w:eastAsia="Times New Roman" w:hAnsi="Tahoma" w:cs="Tahoma"/>
          <w:color w:val="3D3B39"/>
          <w:lang w:eastAsia="it-IT"/>
        </w:rPr>
        <w:t xml:space="preserve"> s.r.l., ad una gara indetta dalla società Veneziana Energia Risorse Idriche Territorio Ambiente Servizi – Veritas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(di seguito Veritas) tramite procedura aperta, avente ad oggetto la conclusione di un Accordo quadro, ex art. 59, comma 4, d.lgs. 12 aprile 2006, n. 163, relativo al servizio di noleggio ed al servizio lavaggio indumenti/D.P.I. (dispositivi di protezione individuale) del valore stimato di euro 9.504.600,00, per la durata di dodici mesi.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Quale criterio di aggiudicazione era quello dell’offerta economicamente più vantaggiosa, ai sensi dell’art. 83 </w:t>
      </w:r>
      <w:proofErr w:type="spellStart"/>
      <w:r w:rsidRPr="0078361C">
        <w:rPr>
          <w:rFonts w:ascii="Tahoma" w:eastAsia="Times New Roman" w:hAnsi="Tahoma" w:cs="Tahoma"/>
          <w:color w:val="3D3B39"/>
          <w:lang w:eastAsia="it-IT"/>
        </w:rPr>
        <w:t>d.lgs</w:t>
      </w:r>
      <w:proofErr w:type="spellEnd"/>
      <w:r w:rsidRPr="0078361C">
        <w:rPr>
          <w:rFonts w:ascii="Tahoma" w:eastAsia="Times New Roman" w:hAnsi="Tahoma" w:cs="Tahoma"/>
          <w:color w:val="3D3B39"/>
          <w:lang w:eastAsia="it-IT"/>
        </w:rPr>
        <w:t xml:space="preserve"> n. 163 del 2006, con un punteggio massimo di 60 punti per il prezzo e di 40 punti per la valutazione tecnica.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Per espressa indicazione del bando di gara, il servizio faceva riferimento alle esigenze di definizione di contratti d’appalto discendenti dal predetto Accordo quadro, senza nuovo confronto competitivo, da parte di Veritas, Alisea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Ambiente e Servizi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Asvo</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e Net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(società facenti tutte parte del gruppo Veritas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All’esito delle operazioni di gara, la società Lavanderie dell’Alto Adige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(di seguito LAA) si collocava al primo posto in graduatoria, con un punteggio pari a 97,20 (37,20 per la valutazione tecnica e 60 per il prezzo) ed il costituendo RTI tra Alfredo Grassi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e </w:t>
      </w:r>
      <w:proofErr w:type="spellStart"/>
      <w:r w:rsidRPr="0078361C">
        <w:rPr>
          <w:rFonts w:ascii="Tahoma" w:eastAsia="Times New Roman" w:hAnsi="Tahoma" w:cs="Tahoma"/>
          <w:color w:val="3D3B39"/>
          <w:lang w:eastAsia="it-IT"/>
        </w:rPr>
        <w:t>Marawash</w:t>
      </w:r>
      <w:proofErr w:type="spellEnd"/>
      <w:r w:rsidRPr="0078361C">
        <w:rPr>
          <w:rFonts w:ascii="Tahoma" w:eastAsia="Times New Roman" w:hAnsi="Tahoma" w:cs="Tahoma"/>
          <w:color w:val="3D3B39"/>
          <w:lang w:eastAsia="it-IT"/>
        </w:rPr>
        <w:t xml:space="preserve"> s.r.l. (di seguito, Alfredo Grassi) al secondo posto con punti 87,60 (40 per la valutazione tecnica e 47,60 per il prezzo).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A seguito della valutazione dell’anomalia dell’offerta, con nota dell’11 giugno 2015 Veritas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comunicava l’aggiudicazione definitiva della gara in favore di LAA.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Con ricorso al Tribunale amministrativo del Veneto, Alfredo Grassi impugnava l’aggiudicazione definitiva, unitamente ad “ogni atto annesso, connesso o presupposto” (tra cui, in particolare, quelli esplicitamente indicati nell’epigrafe dell’atto di gravame), deducendo cinque distinte censure di legittimità attinenti: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le modalità di presentazione dell’offerta economica da parte di LAA e la relativa aggiudicazione alla stessa.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la valutazione dell’anomalia;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la mancata verbalizzazione del contenuto delle buste riportanti la documentazione amministrativa come da verbale dell’8 gennaio 2015;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l’errata dichiarazione dei commissari di gara circa le condizioni di incompatibilità degli stessi;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lastRenderedPageBreak/>
        <w:br/>
        <w:t>la mancata corretta quantificazione del valore stimato dell’appalto.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Con sentenza 30 marzo 2016, n. 333 il Tribunale amministrativo del Veneto respingeva il ricorso.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Avverso tale decisione Alfredo Grassi interponeva appello, riproponendo avanti al Consiglio di Stato gli stessi motivi di ricorso del grado precedente.</w:t>
      </w:r>
    </w:p>
    <w:p w:rsidR="0078361C" w:rsidRPr="0078361C" w:rsidRDefault="0078361C" w:rsidP="0078361C">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b/>
          <w:bCs/>
          <w:color w:val="3D3B39"/>
          <w:lang w:eastAsia="it-IT"/>
        </w:rPr>
        <w:t>DIRITTO</w:t>
      </w:r>
    </w:p>
    <w:p w:rsidR="0078361C" w:rsidRPr="0078361C" w:rsidRDefault="0078361C" w:rsidP="0078361C">
      <w:pPr>
        <w:spacing w:after="265" w:line="240" w:lineRule="auto"/>
        <w:rPr>
          <w:rFonts w:ascii="Tahoma" w:eastAsia="Times New Roman" w:hAnsi="Tahoma" w:cs="Tahoma"/>
          <w:color w:val="3D3B39"/>
          <w:lang w:eastAsia="it-IT"/>
        </w:rPr>
      </w:pPr>
      <w:r w:rsidRPr="0078361C">
        <w:rPr>
          <w:rFonts w:ascii="Tahoma" w:eastAsia="Times New Roman" w:hAnsi="Tahoma" w:cs="Tahoma"/>
          <w:color w:val="3D3B39"/>
          <w:lang w:eastAsia="it-IT"/>
        </w:rPr>
        <w:t>L’appello non può trovare accoglimento.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Con il primo motivo di appello, Alfredo Grassi sostiene che la propria offerta economica (relativa al noleggio) sarebbe migliore di quella di LAA, laddove il miglior prezzo teorico offerto da quest’ultima in relazione al lavaggio non sarebbe comunque sufficiente a renderne più conveniente l’offerta complessiva.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Preliminarmente va ricordato che la documentazione di gara quantificava le dotazioni e la tipologia di indumenti per ciascun ente interessato, con possibilità di stabilire i valori di base d’asta per i vari servizi. Per l’appellante, in particolare, l’attribuzione dei 60 punti a LAA sarebbe dipesa dai forti sconti operati da quest’ultima su alcuni prezzi unitari nel modulo B i quali, corretti dai coefficienti indicati dalla stazione appaltante, avevano determinato il prezzo medio ponderato da utilizzare nella formula per attribuire il punteggio all’offerta economica.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In sintesi, per Alfredo Grassi la concorrente LAA avrebbe artificiosamente praticato fortissimi sconti (ritenuti dall’appellante irrealistici e fuori mercato) sulle prestazioni cui la stazione appaltante aveva attribuito il maggior peso ponderale (ossia, la maggior importanza: in particolare, la voce n. 10 progressiva - codifica 4/a e la voce n. 24 progressiva - codifica 10/a), con ciò assicurandosi un punteggio finale sostanzialmente distorto.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A riprova di ciò l’appellante riporta, a pag. 9 del proprio atto di gravame, che “Nella preparazione del modulo B in riferimento agli articoli con maggior peso ponderale (voci 4/a e 10/a) solo LAA ha presentato fortissimi ribassi mentre tutti gli altri concorrenti risultano allineati tra loro. Analizzando l’offerta di LAA emerge infatti che per tutti gli articoli con peso ponderale inferiore al 9% è stato fatto uno sconto dello 0,50% mentre per gli altri articoli con peso superiore sono stati fatti sconti maggiori, fino all’80% nei casi sopramenzionati, con chiaro intento turbativo dei criteri di valutazione”.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Nel caso di specie, però, ciò che per l’appellante sarebbe un “chiaro intento turbativo dei criteri di valutazione” sembra in realtà null’altro che una concreta applicazione del generale principio di concorrenza.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Invero, atteso che all’esito dei controlli l’offerta di LAA non è stata giudicata anomala dalla stazione appaltante, la circostanza che gli altri concorrenti abbiano scelto di formulare offerte con prezzi maggiori per determinate prestazioni non altro qui prova, se non che le dette offerte, sotto tale profilo, apparivano meno convenienti di quelle di LAA per la committente.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In questi termini, è condivisibile quanto rilevato dalla sentenza impugnata che – dopo dato atto della legittimità (e ragionevolezza tecnica) dei criteri di valutazione dell’offerta economica e di successiva attribuzione del punteggio, ha così concluso: “… passando, più specificatamente, all’esame dell’offerta presentata da LAA – sulla quale si concentrano, in buona sostanza, le doglianze della ricorrente che costituiscono il nucleo centrale del ricorso –, si osserva che la stessa non è stata predisposta in violazione di alcuna previsione contenuta nella </w:t>
      </w:r>
      <w:proofErr w:type="spellStart"/>
      <w:r w:rsidRPr="0078361C">
        <w:rPr>
          <w:rFonts w:ascii="Tahoma" w:eastAsia="Times New Roman" w:hAnsi="Tahoma" w:cs="Tahoma"/>
          <w:color w:val="3D3B39"/>
          <w:lang w:eastAsia="it-IT"/>
        </w:rPr>
        <w:t>lex</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specialis</w:t>
      </w:r>
      <w:proofErr w:type="spellEnd"/>
      <w:r w:rsidRPr="0078361C">
        <w:rPr>
          <w:rFonts w:ascii="Tahoma" w:eastAsia="Times New Roman" w:hAnsi="Tahoma" w:cs="Tahoma"/>
          <w:color w:val="3D3B39"/>
          <w:lang w:eastAsia="it-IT"/>
        </w:rPr>
        <w:t xml:space="preserve"> di gara: </w:t>
      </w:r>
      <w:r w:rsidRPr="0078361C">
        <w:rPr>
          <w:rFonts w:ascii="Tahoma" w:eastAsia="Times New Roman" w:hAnsi="Tahoma" w:cs="Tahoma"/>
          <w:color w:val="3D3B39"/>
          <w:lang w:eastAsia="it-IT"/>
        </w:rPr>
        <w:lastRenderedPageBreak/>
        <w:t>invero, LAA, nell’ambito della propria libertà di impresa e della definizione della strategia di partecipazione alla procedura di gara, ha ritenuto di modulare la propria offerta economica in modo mirato, usufruendo della specifica disciplina sopra illustrata, utilizzando la possibilità di variare il ribasso in ragione della tipologia di articolo e di prestazione richiesta, ovviamente tenendo in debito conto il peso ponderale che la Stazione appaltante ha ritenuto di attribuire a quello specifico servizio o articolo piuttosto che ad un altro”.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Con il secondo motivo d’appello, in parte ripetitivo del precedente (in particolare, per quanto attiene l’asserita miglior convenienza economica della propria offerta), Alfredo Grassi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contesta la decisione della stazione appaltante di escludere che l’offerta di LAA fosse anomala, deducendo l’erroneità del calcolo effettuato dalla concorrente per giustificare la propria offerta.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Si legge, in particolare, a pag. 19 dell’atto d’appello: “La dichiarazione rilasciata da LAA a seguito di richiesta di Veritas di dimostrazione della congruità dei prezzi nel corso del verbale del 28 maggio 2015 (doc. 20), è solo volta a dichiarare che nell’insieme l’offerta risulta essere per loro redditizia ma non viene fornito alcun dettaglio specifico dei costi dei capi, eludendo quindi l’analisi dei costi richiesta da Veritas e dimostrando quindi ancora una volta la volontà di escludere i criteri di aggiudicazione definiti da Veritas. Infatti nel predetto verbale con specifico riferimento alla richiesta di ottenere informazioni sugli straordinari ribassi nei capi 4/a e 10/a per i quali il peso ponderale era più elevato, il che ha alterato il risultato finale dell’offerta economica, LAA da un lato ha affermato che la valutazione della congruità va fatta nel suo insieme e non per singole voci, e poi ha dichiarato che “per entrambi, anche in considerazione del loro peso ponderale rispetto all’insieme del costo complessivo della commessa, è riuscita ad ottenere dai singoli fornitori delle condizioni particolarmente favorevoli e non ripetibili per altri capi”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In argomento, va ribadito il principio (ex </w:t>
      </w:r>
      <w:proofErr w:type="spellStart"/>
      <w:r w:rsidRPr="0078361C">
        <w:rPr>
          <w:rFonts w:ascii="Tahoma" w:eastAsia="Times New Roman" w:hAnsi="Tahoma" w:cs="Tahoma"/>
          <w:color w:val="3D3B39"/>
          <w:lang w:eastAsia="it-IT"/>
        </w:rPr>
        <w:t>multis</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Stato, V, 16 gennaio 2015, n. 89; VI, 15 dicembre 2014, n. 6154; Id., IV, 11 novembre 2014, n. 5530) secondo cui, nelle procedure per l’aggiudicazione di appalti pubblici, la valutazione delle giustificazioni presentate da chi è tenuto a dimostrare che la propria offerta non è da considerarsi anomala è vicenda che rientra nell’ampio potere tecnico-discrezionale della stazione appaltante. Perciò, soltanto in caso di macroscopiche illogicità, vale a dire di errori di valutazione evidenti e gravi, oppure di valutazioni abnormi o affette da errori di fatto di immediata evidenza, è ammissibile il sindacato del giudice.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La sentenza del Tribunale amministrativo del Veneto ha fatto corretta applicazione di tale regola, evidenziando: “nel caso di ricorso proposto avverso il giudizio di anomalia dell’offerta presentata in una pubblica gara, il giudice amministrativo può sindacare le valutazioni compiute dall’Amministrazione sotto il profilo della loro logicità e ragionevolezza e della congruità dell’istruttoria, ma non può effettuare autonomamente la verifica della congruità dell’offerta presentata e delle sue singole voci, sostituendo così la sua valutazione al giudizio, non erroneo né illogico, formulato dall’organo amministrativo cui la legge attribuisce la tutela dell’interesse pubblico nell’apprezzamento del caso concreto”.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Il giudice amministrativo, infatti, in ragione del principio di separazione dei poteri può sindacare le valutazioni della pubblica amministrazione quanto a logicità, ragionevolezza ed adeguatezza dell’istruttoria, ma non può procedere ad un’autonoma e distinta verifica della congruità dell’offerta e delle sue singole voci, poiché costituirebbe un’inammissibile invasione della sfera amministrativa della stazione appaltante: per l’effetto, tale sindacato rimane limitato ai casi di macroscopiche illegittimità, quali valutazioni abnormi o inficiate da manifesti errori di fatto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Stato, V, 2 dicembre 2015, n. 5450).</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Nel caso di specie, le giustificazioni addotte da LAA e le successive valutazioni di Veritas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non presentano profili di manifesta incoerenza o irragionevolezza, né appaiono inattendibili perché sintomatiche di una palese, falsa rappresentazione della realtà fattuale.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lastRenderedPageBreak/>
        <w:br/>
        <w:t>Ciò detto sul piano generale, deve evidenziarsi come – nello specifico – la censura sia fondata sul rilievo per cui, in particolare, le singole voci 4/a e 10/a del Modulo B dell’offerta di LAA non sarebbero state adeguatamente giustificate.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L’argomento non è però idoneo a bene fondare la doglianza.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Non v’è infatti, allo stato, ragione di discostarsi dal principio per cui il giudizio di verifica della congruità di un’offerta sospetta di anomalia ha natura globale e sintetica sulla serietà o meno dell’offerta nel suo insieme, essendo irrilevanti delle – pur sempre possibili – isolate e singole voci di scostamento (ex </w:t>
      </w:r>
      <w:proofErr w:type="spellStart"/>
      <w:r w:rsidRPr="0078361C">
        <w:rPr>
          <w:rFonts w:ascii="Tahoma" w:eastAsia="Times New Roman" w:hAnsi="Tahoma" w:cs="Tahoma"/>
          <w:color w:val="3D3B39"/>
          <w:lang w:eastAsia="it-IT"/>
        </w:rPr>
        <w:t>multis</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Stato, VI, 14 agosto 2015, n. 3935; Id., V, 22 dicembre 2014, n. 6231.</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Tale giudizio non ha infatti per oggetto la ricerca di ipotetiche inesattezze parziali dell’offerta economica, ma è finalizzato ad accertare se quest’ultima, nel complesso, sia attendibile e, dunque, se dia serio affidamento circa la corretta esecuzione dell’appalto: ciò che conta è che l’offerta, nel suo complesso, appaia effettivamente seria.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Un sindacato nel dettaglio sugli aspetti (o voci) puntuali, come additato da parte appellante, è precluso al giudice amministrativo, cui per i limiti della sua giurisdizione non è consentita un’autonoma valutazione della congruità delle singole voci, non potendosi appunto sostituire ad un’attività valutativa spettante, nella sua manifestazione, all’Amministrazione procedente.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Correttamente, dunque, il Tribunale amministrativo del Veneto ha rigettato l’argomento, pur precisando – per completezza – che comunque “LAA, a seguito di specifica richiesta della Stazione Appaltante, ha fornito giustificazioni anche in relazione alle suddette voci; giustificazioni che, diversamente da quanto affermato in ricorso, non appaiono incongrue né irragionevoli”.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Ancora, a ribadire l’infondatezza della logica argomentativa del motivo di appello, va ricordato che il procedimento di verifica dell’anomalia non ha carattere sanzionatorio, né potrebbe averlo l’eventuale verifica giudiziale, pur circoscritta nei limiti di cui si è detto in precedenza.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Con il terzo motivo di appello, Alfredo Grassi deduce – in via subordinata – l’illegittimità della procedura di gara per mancata verbalizzazione del contenuto delle buste riportanti la documentazione amministrativa (come dovrebbe arguirsi dal verbale dell’8 gennaio 2015).</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In particolare, non risulterebbe in alcun modo specificato a verbale “il contenuto della documentazione reperita nei plichi contenenti la documentazione amministrativa che i concorrenti dovevano presentare a pena di esclusione, ai sensi dell’art. 6.1 delle norme di gara […] In definitiva non si ha modo di avere alcuna certezza che la documentazione reperita nei plichi delle sedute pubbliche dell’8 gennaio 2014 (</w:t>
      </w:r>
      <w:proofErr w:type="spellStart"/>
      <w:r w:rsidRPr="0078361C">
        <w:rPr>
          <w:rFonts w:ascii="Tahoma" w:eastAsia="Times New Roman" w:hAnsi="Tahoma" w:cs="Tahoma"/>
          <w:color w:val="3D3B39"/>
          <w:lang w:eastAsia="it-IT"/>
        </w:rPr>
        <w:t>rectius</w:t>
      </w:r>
      <w:proofErr w:type="spellEnd"/>
      <w:r w:rsidRPr="0078361C">
        <w:rPr>
          <w:rFonts w:ascii="Tahoma" w:eastAsia="Times New Roman" w:hAnsi="Tahoma" w:cs="Tahoma"/>
          <w:color w:val="3D3B39"/>
          <w:lang w:eastAsia="it-IT"/>
        </w:rPr>
        <w:t xml:space="preserve"> 2015) e 4 febbraio 2014 (</w:t>
      </w:r>
      <w:proofErr w:type="spellStart"/>
      <w:r w:rsidRPr="0078361C">
        <w:rPr>
          <w:rFonts w:ascii="Tahoma" w:eastAsia="Times New Roman" w:hAnsi="Tahoma" w:cs="Tahoma"/>
          <w:color w:val="3D3B39"/>
          <w:lang w:eastAsia="it-IT"/>
        </w:rPr>
        <w:t>rectius</w:t>
      </w:r>
      <w:proofErr w:type="spellEnd"/>
      <w:r w:rsidRPr="0078361C">
        <w:rPr>
          <w:rFonts w:ascii="Tahoma" w:eastAsia="Times New Roman" w:hAnsi="Tahoma" w:cs="Tahoma"/>
          <w:color w:val="3D3B39"/>
          <w:lang w:eastAsia="it-IT"/>
        </w:rPr>
        <w:t xml:space="preserve"> 2015) sia quella effettivamente passata all’esame della commissione di gara quanto alla verifica della stessa, e della commissione giudicatrice che poi sono riunite in seduta riservata. Si precisa che né le norme di gara né il foglio disciplinare prevedono norme derogatorie ai principi sopra indicati e tuttavia anche tali norme vengono impugnate ove abbiano consentito alla stazione appaltante di assumere i suddetti comportamenti”.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Premesso che l’ultimo inciso è assunto inammissibile per genericità, non deducendo l’appellante specifiche censure avverso le “norme di gara” (neppure individuate) ovvero il “foglio disciplinare”, il motivo di ricorso è comunque infondato.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La censura è infatti decontestualizzata e priva di obiettivi elementi di supporto, nel senso richiesto da consolidato insegnamento giurisprudenziale (ex </w:t>
      </w:r>
      <w:proofErr w:type="spellStart"/>
      <w:r w:rsidRPr="0078361C">
        <w:rPr>
          <w:rFonts w:ascii="Tahoma" w:eastAsia="Times New Roman" w:hAnsi="Tahoma" w:cs="Tahoma"/>
          <w:color w:val="3D3B39"/>
          <w:lang w:eastAsia="it-IT"/>
        </w:rPr>
        <w:t>multis</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xml:space="preserve">. Stato, V, 22 febbraio 2011, n. </w:t>
      </w:r>
      <w:r w:rsidRPr="0078361C">
        <w:rPr>
          <w:rFonts w:ascii="Tahoma" w:eastAsia="Times New Roman" w:hAnsi="Tahoma" w:cs="Tahoma"/>
          <w:color w:val="3D3B39"/>
          <w:lang w:eastAsia="it-IT"/>
        </w:rPr>
        <w:lastRenderedPageBreak/>
        <w:t>1094; Id., 25 luglio 2006, n. 4657; Id., 10 maggio 2005, n. 2342; Id., 20 settembre 2001, n. 4973; Id., IV, 5 ottobre 2005, n. 5360): una tale evenienza di suo non integra un’autonoma causa di invalidità delle operazioni di gara, dovendosi piuttosto indicare specifici elementi di fatto che impongano obiettivamente di dubitare della genuinità dei plichi. Elementi che però non sono stati indicati dall’appellante, limitatosi questa ad un’ipotetica deduzione a priori.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Con il quarto motivo di appello la società Alfredo Grassi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 sempre in via subordinata – sostiene che le dichiarazioni dei commissari circa la sussistenza di eventuali condizioni di incompatibilità non sarebbero corrette.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In sintesi, l’appellante richiama l’attenzione sul fatto che i singoli componenti della commissione giudicatrice avrebbero dichiarato – in calce alla comunicazione del 2 febbraio 2015 (di nomina a commissario) – non sussistere loro incompatibilità, nonostante che a quella data ancora non potessero conoscere i nominativi dei concorrenti, appresi solo in occasione della successiva seduta del 4 febbraio 2015. Il che avrebbe comportato, ad avviso di parte appellante, una violazione dell’art. 83 d.lgs. 12 aprile 2006, n. 163, nel combinato disposto con l’art. 120, ultimo comma, </w:t>
      </w:r>
      <w:proofErr w:type="spellStart"/>
      <w:r w:rsidRPr="0078361C">
        <w:rPr>
          <w:rFonts w:ascii="Tahoma" w:eastAsia="Times New Roman" w:hAnsi="Tahoma" w:cs="Tahoma"/>
          <w:color w:val="3D3B39"/>
          <w:lang w:eastAsia="it-IT"/>
        </w:rPr>
        <w:t>d.P.R.</w:t>
      </w:r>
      <w:proofErr w:type="spellEnd"/>
      <w:r w:rsidRPr="0078361C">
        <w:rPr>
          <w:rFonts w:ascii="Tahoma" w:eastAsia="Times New Roman" w:hAnsi="Tahoma" w:cs="Tahoma"/>
          <w:color w:val="3D3B39"/>
          <w:lang w:eastAsia="it-IT"/>
        </w:rPr>
        <w:t xml:space="preserve"> 5 ottobre 2010, n. 207.</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Il Tribunale amministrativo del Veneto aveva rigettato il motivo di gravame, sul presupposto che “… i nominativi dei concorrenti erano noti quanto meno dalla data dell’8.1.2015, a seguito dell’apertura e dell’esame della documentazione amministrativa, come emerge dal relativo verbale. Peraltro, anche in tale caso, la ricorrente non adduce alcun elemento, nemmeno in via presuntiva, idoneo ad affermare la possibile sussistenza di cause di incompatibilità o di astensione ex art. 84, commi 4, 5 e 7, del </w:t>
      </w:r>
      <w:proofErr w:type="spellStart"/>
      <w:r w:rsidRPr="0078361C">
        <w:rPr>
          <w:rFonts w:ascii="Tahoma" w:eastAsia="Times New Roman" w:hAnsi="Tahoma" w:cs="Tahoma"/>
          <w:color w:val="3D3B39"/>
          <w:lang w:eastAsia="it-IT"/>
        </w:rPr>
        <w:t>D.Lgs.</w:t>
      </w:r>
      <w:proofErr w:type="spellEnd"/>
      <w:r w:rsidRPr="0078361C">
        <w:rPr>
          <w:rFonts w:ascii="Tahoma" w:eastAsia="Times New Roman" w:hAnsi="Tahoma" w:cs="Tahoma"/>
          <w:color w:val="3D3B39"/>
          <w:lang w:eastAsia="it-IT"/>
        </w:rPr>
        <w:t xml:space="preserve"> n. 163/2006, relativamente ad uno o più membri della Commissione di gara, limitandosi a lamentare, per le ragioni esposte, la insufficienza della dichiarazione resa dai commissari”.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A fronte di tali rilievi, parte appellante eccepisce che “Anche questa parte di motivazione appare palesemente illogica, poiché l’8 gennaio 2015 è stata effettuata l’apertura delle offerte non da parte della commissione giudicatrice ma da parte della commissione di gara e quindi non consta in nessun modo che alla data del 4 febbraio 2015 i soggetti componenti della commissione fossero a conoscenza del nominativo dei concorrenti. Le dichiarazioni di assenza di incompatibilità sono quindi state effettuate palesemente alla cieca”.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L’argomento non è condivisibile.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Il ragionamento “in negativo” condotto dall’appellante (“non consta … che alla data del 4 febbraio 2015 i soggetti componenti della commissione fossero a conoscenza del nominativo dei concorrenti”), infatti, non assolve l’onere della prova in capo alla dichiarante Alfredo Grassi, che avrebbe invece dovuto positivamente dimostrare quanto sostenuto (ossia, che i suddetti commissari obiettivamente fossero impossibilitati, alla data del 4 febbraio 2015, ad avere contezza dei nominativi dei partecipanti alla gara, una volta che questi erano stati resi pubblici – cfr.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Stato, III, 11 giugno 2013, n. 3228 – nel corso della precedente riunione del seggio di gara, in data 8 gennaio 2015).</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A ciò </w:t>
      </w:r>
      <w:proofErr w:type="spellStart"/>
      <w:r w:rsidRPr="0078361C">
        <w:rPr>
          <w:rFonts w:ascii="Tahoma" w:eastAsia="Times New Roman" w:hAnsi="Tahoma" w:cs="Tahoma"/>
          <w:color w:val="3D3B39"/>
          <w:lang w:eastAsia="it-IT"/>
        </w:rPr>
        <w:t>aggiungasi</w:t>
      </w:r>
      <w:proofErr w:type="spellEnd"/>
      <w:r w:rsidRPr="0078361C">
        <w:rPr>
          <w:rFonts w:ascii="Tahoma" w:eastAsia="Times New Roman" w:hAnsi="Tahoma" w:cs="Tahoma"/>
          <w:color w:val="3D3B39"/>
          <w:lang w:eastAsia="it-IT"/>
        </w:rPr>
        <w:t xml:space="preserve"> il decisivo rilievo che l’appellante Alfredo Grassi non solo omette di indicare specifici profili di incompatibilità dei commissari, ma neppure allega un qualche concreto riscontro dal quale poter arguire che almeno uno dei commissari ricadesse nella fattispecie di cui all’art. 84, commi 4, 5 e 7 del d.lgs. n. 163 del 2006.</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Da ultimo, con quinto motivo d’appello, la ditta Alfredo Grassi, sulla base di proprie stime e di quanto affermato da LAA in sede di giustificazioni, censura la determinazione della base d’asta operata dalla stazione appaltante. Ad avviso dell’appellante, il prezzo posto a base d’asta sarebbe </w:t>
      </w:r>
      <w:r w:rsidRPr="0078361C">
        <w:rPr>
          <w:rFonts w:ascii="Tahoma" w:eastAsia="Times New Roman" w:hAnsi="Tahoma" w:cs="Tahoma"/>
          <w:color w:val="3D3B39"/>
          <w:lang w:eastAsia="it-IT"/>
        </w:rPr>
        <w:lastRenderedPageBreak/>
        <w:t>sottostimato, con conseguente necessità di annullare l’intera gara.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Sul punto, la sentenza appellata così motiva: “non pare condivisibile il percorso logico seguito dalla ricorrente che, per contestare la base d’asta indicata nella legge di gara, ritiene di determinare il corretto importo individuando il costo a base d’asta del solo noleggio in base alle proprie stime, per poi sommare il costo del lavaggio indicato da LAA nelle proprie giustificazioni in sede di verifica dell’anomalia, la ricostruzione proposta appare artificiosa ed arbitraria, implicando la commistione di dati del tutto disomogenei e soprattutto di differente origine. Al contrario, la ricorrente omette di addurre elementi concreti atti a dimostrare l’inadeguatezza della base d’asta fissata da Veritas, in modo da supportare l’asserita violazione dell’art. 29 del </w:t>
      </w:r>
      <w:proofErr w:type="spellStart"/>
      <w:r w:rsidRPr="0078361C">
        <w:rPr>
          <w:rFonts w:ascii="Tahoma" w:eastAsia="Times New Roman" w:hAnsi="Tahoma" w:cs="Tahoma"/>
          <w:color w:val="3D3B39"/>
          <w:lang w:eastAsia="it-IT"/>
        </w:rPr>
        <w:t>D.Lgs.</w:t>
      </w:r>
      <w:proofErr w:type="spellEnd"/>
      <w:r w:rsidRPr="0078361C">
        <w:rPr>
          <w:rFonts w:ascii="Tahoma" w:eastAsia="Times New Roman" w:hAnsi="Tahoma" w:cs="Tahoma"/>
          <w:color w:val="3D3B39"/>
          <w:lang w:eastAsia="it-IT"/>
        </w:rPr>
        <w:t xml:space="preserve"> n. 163/2006”.</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Da parte sua, la stazione appaltante Veritas aveva ribadito che “La base d’asta di € 9.504.600,00 … è stata determinata partendo da prezzi unitari relativi a ciascun capo per ciascuna delle tipologie di servizio (noleggio e lavaggio) oggetto dell’appello. I prezzi unitari sono stati individuati dalla Stazione Appaltante sulla base dell’esperienza maturata nel corso del precedente rapporto contrattuale iniziato nel 2006, dei costi sostenuti e di un’attività di indagine delle materie prime del mercato di riferimento. Si è, inoltre, tenuto conto, da un lato, delle nuove clausole contrattuali previste nello Schema di Accordo Quadro che prevedono, tra l’altro, la possibilità per la committenza di un’uscita anticipata dai contratti discendenti rispetto alla loro naturale scadenza ed il mancato riconoscimento di valore residuo dei capi alla scadenza naturale di ciascun contratto attivato, dall’altro, delle nuove tipologie di capi da fornire, sia in termini di diversità di tessuto utilizzato, sia in termini di diversità di confezionamento.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Si precisa, infine, che al fin della stima della base d’asta complessiva si è tenuto conto anche del valore delle forniture di alcune tipologie di capi non oggetto di noleggio e degli oneri di sicurezza per l’abbattimento dei rischi interferenziali (non soggetta a ribasso)”.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In considerazione dello specifico oggetto dell’appalto su cui si controverte, che ha ad oggetto una pluralità di prestazioni (forniture e servizi) non atomisticamente intese ma tra loro strumentali, le considerazioni espresse dalla sentenza appellata appaiono condivisibili.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Invero, nel caso di specie non sarebbe corretto determinare una base d’asta correlata alle singole componenti di lavaggio e di noleggio, poiché la (complessiva) base d’asta deriva dalla contestuale considerazione – sulla base dell’ampia discrezionalità tecnica di cui la stazione appaltante in tale contesto dispone (cfr.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Stato, III, 19 ottobre 2015, n. 4789; Id., V, 13 maggio 2011, n. 2896; Id., V, 1° aprile 2011, n. 2033) – delle due attività complementari dedotte in contratto, che dunque andranno sommate per poi giungersi all’indicazione dell’offerta di gara.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Infine, che la base d’asta fosse incongrua risulta smentito dallo stesso fatto che a suo tempo l’appellante Alfredo Grassi ha potuto regolarmente effettuare una propria offerta, giudicata non anomala, senza necessità di proporre, a suo tempo, un’autonoma e specifica impugnativa sul punto, per immediata e diretta lesività dei propri interessi partecipativi alla gara.</w:t>
      </w:r>
    </w:p>
    <w:p w:rsidR="0078361C" w:rsidRPr="0078361C" w:rsidRDefault="0078361C" w:rsidP="0078361C">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b/>
          <w:bCs/>
          <w:color w:val="3D3B39"/>
          <w:lang w:eastAsia="it-IT"/>
        </w:rPr>
        <w:t>P.Q.M.</w:t>
      </w:r>
    </w:p>
    <w:p w:rsidR="0078361C" w:rsidRPr="0078361C" w:rsidRDefault="0078361C" w:rsidP="0078361C">
      <w:pPr>
        <w:spacing w:after="265" w:line="240" w:lineRule="auto"/>
        <w:rPr>
          <w:rFonts w:ascii="Tahoma" w:eastAsia="Times New Roman" w:hAnsi="Tahoma" w:cs="Tahoma"/>
          <w:color w:val="3D3B39"/>
          <w:lang w:eastAsia="it-IT"/>
        </w:rPr>
      </w:pPr>
      <w:r w:rsidRPr="0078361C">
        <w:rPr>
          <w:rFonts w:ascii="Tahoma" w:eastAsia="Times New Roman" w:hAnsi="Tahoma" w:cs="Tahoma"/>
          <w:color w:val="3D3B39"/>
          <w:lang w:eastAsia="it-IT"/>
        </w:rPr>
        <w:t>Il Consiglio di Stato in sede giurisdizionale (Sezione Quinta), definitivamente pronunciando sull'appello, come in epigrafe proposto,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respinge l’appello e, per l'effetto, conferma l’impugnata sentenza n. 333 del 2016 del Tribunale amministrativo del Veneto.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Condanna parte appellante al pagamento delle spese di lite del presente grado di giudizio in favore di Veritas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e Lavanderie dell’Alto Adige </w:t>
      </w:r>
      <w:proofErr w:type="spellStart"/>
      <w:r w:rsidRPr="0078361C">
        <w:rPr>
          <w:rFonts w:ascii="Tahoma" w:eastAsia="Times New Roman" w:hAnsi="Tahoma" w:cs="Tahoma"/>
          <w:color w:val="3D3B39"/>
          <w:lang w:eastAsia="it-IT"/>
        </w:rPr>
        <w:t>s.p.a.</w:t>
      </w:r>
      <w:proofErr w:type="spellEnd"/>
      <w:r w:rsidRPr="0078361C">
        <w:rPr>
          <w:rFonts w:ascii="Tahoma" w:eastAsia="Times New Roman" w:hAnsi="Tahoma" w:cs="Tahoma"/>
          <w:color w:val="3D3B39"/>
          <w:lang w:eastAsia="it-IT"/>
        </w:rPr>
        <w:t xml:space="preserve">, che liquida in euro 3.000,00 (tremila/00) </w:t>
      </w:r>
      <w:r w:rsidRPr="0078361C">
        <w:rPr>
          <w:rFonts w:ascii="Tahoma" w:eastAsia="Times New Roman" w:hAnsi="Tahoma" w:cs="Tahoma"/>
          <w:color w:val="3D3B39"/>
          <w:lang w:eastAsia="it-IT"/>
        </w:rPr>
        <w:lastRenderedPageBreak/>
        <w:t>ciascuna, oltre Iva ed accessori di legge.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Ordina che la presente sentenza sia eseguita dall'autorità amministrativa.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Così deciso in Roma nella camera di consiglio del giorno 9 febbraio 2017 con l'intervento dei magistrati:</w:t>
      </w:r>
    </w:p>
    <w:p w:rsidR="0078361C" w:rsidRPr="00247A22" w:rsidRDefault="0078361C" w:rsidP="0078361C">
      <w:pPr>
        <w:spacing w:after="265" w:line="240" w:lineRule="auto"/>
        <w:rPr>
          <w:rFonts w:ascii="Tahoma" w:eastAsia="Times New Roman" w:hAnsi="Tahoma" w:cs="Tahoma"/>
          <w:color w:val="3D3B39"/>
          <w:lang w:eastAsia="it-IT"/>
        </w:rPr>
      </w:pPr>
      <w:r w:rsidRPr="0078361C">
        <w:rPr>
          <w:rFonts w:ascii="Tahoma" w:eastAsia="Times New Roman" w:hAnsi="Tahoma" w:cs="Tahoma"/>
          <w:color w:val="3D3B39"/>
          <w:lang w:eastAsia="it-IT"/>
        </w:rPr>
        <w:t>Giuseppe Severini, Presidente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Claudio Contessa, Consigliere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Raffaele Prosperi, Consigliere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Alessandro Maggio, Consigliere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Valerio Perotti, Consigliere, Estensore</w:t>
      </w: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78361C" w:rsidRDefault="0078361C" w:rsidP="0078361C">
      <w:pPr>
        <w:spacing w:after="265" w:line="240" w:lineRule="auto"/>
        <w:rPr>
          <w:rFonts w:ascii="PT Serif" w:eastAsia="Times New Roman" w:hAnsi="PT Serif" w:cs="Arial"/>
          <w:color w:val="3D3B39"/>
          <w:sz w:val="21"/>
          <w:szCs w:val="21"/>
          <w:lang w:eastAsia="it-IT"/>
        </w:rPr>
      </w:pPr>
    </w:p>
    <w:p w:rsidR="00247A22" w:rsidRDefault="00247A22" w:rsidP="0078361C">
      <w:pPr>
        <w:spacing w:after="225" w:line="240" w:lineRule="auto"/>
        <w:outlineLvl w:val="1"/>
        <w:rPr>
          <w:rFonts w:ascii="PT Serif" w:eastAsia="Times New Roman" w:hAnsi="PT Serif" w:cs="Arial"/>
          <w:color w:val="3D3B39"/>
          <w:sz w:val="21"/>
          <w:szCs w:val="21"/>
          <w:lang w:eastAsia="it-IT"/>
        </w:rPr>
      </w:pPr>
    </w:p>
    <w:p w:rsidR="00247A22" w:rsidRDefault="00247A22" w:rsidP="0078361C">
      <w:pPr>
        <w:spacing w:after="225" w:line="240" w:lineRule="auto"/>
        <w:outlineLvl w:val="1"/>
        <w:rPr>
          <w:rFonts w:ascii="PT Serif" w:eastAsia="Times New Roman" w:hAnsi="PT Serif" w:cs="Arial"/>
          <w:color w:val="3D3B39"/>
          <w:sz w:val="21"/>
          <w:szCs w:val="21"/>
          <w:lang w:eastAsia="it-IT"/>
        </w:rPr>
      </w:pPr>
    </w:p>
    <w:p w:rsidR="0078361C" w:rsidRPr="0078361C" w:rsidRDefault="0078361C" w:rsidP="0078361C">
      <w:pPr>
        <w:spacing w:after="265" w:line="240" w:lineRule="auto"/>
        <w:jc w:val="right"/>
        <w:rPr>
          <w:rFonts w:ascii="Tahoma" w:eastAsia="Times New Roman" w:hAnsi="Tahoma" w:cs="Tahoma"/>
          <w:color w:val="3D3B39"/>
          <w:lang w:eastAsia="it-IT"/>
        </w:rPr>
      </w:pPr>
      <w:r w:rsidRPr="0078361C">
        <w:rPr>
          <w:rFonts w:ascii="Tahoma" w:eastAsia="Times New Roman" w:hAnsi="Tahoma" w:cs="Tahoma"/>
          <w:color w:val="3D3B39"/>
          <w:lang w:eastAsia="it-IT"/>
        </w:rPr>
        <w:t xml:space="preserve">Pubblicato il 22/03/2017 </w:t>
      </w:r>
      <w:r w:rsidRPr="0078361C">
        <w:rPr>
          <w:rFonts w:ascii="Tahoma" w:eastAsia="Times New Roman" w:hAnsi="Tahoma" w:cs="Tahoma"/>
          <w:color w:val="3D3B39"/>
          <w:lang w:eastAsia="it-IT"/>
        </w:rPr>
        <w:br/>
        <w:t>N. 01310/2017REG.PROV.COLL.</w:t>
      </w:r>
      <w:r w:rsidRPr="0078361C">
        <w:rPr>
          <w:rFonts w:ascii="Tahoma" w:eastAsia="Times New Roman" w:hAnsi="Tahoma" w:cs="Tahoma"/>
          <w:color w:val="3D3B39"/>
          <w:lang w:eastAsia="it-IT"/>
        </w:rPr>
        <w:br/>
        <w:t>N. 08926/2016 REG.RIC.</w:t>
      </w:r>
    </w:p>
    <w:p w:rsidR="0078361C" w:rsidRPr="0078361C" w:rsidRDefault="0078361C" w:rsidP="0078361C">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b/>
          <w:bCs/>
          <w:color w:val="3D3B39"/>
          <w:lang w:eastAsia="it-IT"/>
        </w:rPr>
        <w:t>REPUBBLICA ITALIANA</w:t>
      </w:r>
      <w:r w:rsidRPr="0078361C">
        <w:rPr>
          <w:rFonts w:ascii="Tahoma" w:eastAsia="Times New Roman" w:hAnsi="Tahoma" w:cs="Tahoma"/>
          <w:b/>
          <w:bCs/>
          <w:color w:val="3D3B39"/>
          <w:lang w:eastAsia="it-IT"/>
        </w:rPr>
        <w:br/>
      </w:r>
      <w:r w:rsidRPr="00247A22">
        <w:rPr>
          <w:rFonts w:ascii="Tahoma" w:eastAsia="Times New Roman" w:hAnsi="Tahoma" w:cs="Tahoma"/>
          <w:b/>
          <w:bCs/>
          <w:color w:val="3D3B39"/>
          <w:lang w:eastAsia="it-IT"/>
        </w:rPr>
        <w:t>IN NOME DEL POPOLO ITALIANO</w:t>
      </w:r>
      <w:r w:rsidRPr="0078361C">
        <w:rPr>
          <w:rFonts w:ascii="Tahoma" w:eastAsia="Times New Roman" w:hAnsi="Tahoma" w:cs="Tahoma"/>
          <w:b/>
          <w:bCs/>
          <w:color w:val="3D3B39"/>
          <w:lang w:eastAsia="it-IT"/>
        </w:rPr>
        <w:br/>
      </w:r>
      <w:r w:rsidRPr="0078361C">
        <w:rPr>
          <w:rFonts w:ascii="Tahoma" w:eastAsia="Times New Roman" w:hAnsi="Tahoma" w:cs="Tahoma"/>
          <w:color w:val="3D3B39"/>
          <w:lang w:eastAsia="it-IT"/>
        </w:rPr>
        <w:br/>
        <w:t>Il Consiglio di Stato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in sede giurisdizionale (Sezione Terza)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ha pronunciato la presente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r>
      <w:r w:rsidRPr="00247A22">
        <w:rPr>
          <w:rFonts w:ascii="Tahoma" w:eastAsia="Times New Roman" w:hAnsi="Tahoma" w:cs="Tahoma"/>
          <w:b/>
          <w:bCs/>
          <w:color w:val="3D3B39"/>
          <w:lang w:eastAsia="it-IT"/>
        </w:rPr>
        <w:t>SENTENZA</w:t>
      </w:r>
    </w:p>
    <w:p w:rsidR="0078361C" w:rsidRPr="0078361C" w:rsidRDefault="0078361C" w:rsidP="0078361C">
      <w:pPr>
        <w:spacing w:after="265" w:line="240" w:lineRule="auto"/>
        <w:rPr>
          <w:rFonts w:ascii="Tahoma" w:eastAsia="Times New Roman" w:hAnsi="Tahoma" w:cs="Tahoma"/>
          <w:color w:val="3D3B39"/>
          <w:lang w:eastAsia="it-IT"/>
        </w:rPr>
      </w:pPr>
      <w:r w:rsidRPr="0078361C">
        <w:rPr>
          <w:rFonts w:ascii="Tahoma" w:eastAsia="Times New Roman" w:hAnsi="Tahoma" w:cs="Tahoma"/>
          <w:color w:val="3D3B39"/>
          <w:lang w:eastAsia="it-IT"/>
        </w:rPr>
        <w:t xml:space="preserve">sul ricorso numero di registro generale 8926 del 2016, proposto da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xml:space="preserve">. s.r.l., in persona del legale rappresentante pro tempore, rappresentata e difesa dall’Avvocato Giovanni Vittorio Nardelli, con domicilio eletto presso lo studio dell’Avvocato Alfredo Placidi in Roma, via Cosseria, n. 2;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contro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Azienda Sanitaria Locale della Provincia di Foggia, in persona del Direttore Generale pro tempore, rappresentata e difesa dall’Avvocato Raffaele </w:t>
      </w:r>
      <w:proofErr w:type="spellStart"/>
      <w:r w:rsidRPr="0078361C">
        <w:rPr>
          <w:rFonts w:ascii="Tahoma" w:eastAsia="Times New Roman" w:hAnsi="Tahoma" w:cs="Tahoma"/>
          <w:color w:val="3D3B39"/>
          <w:lang w:eastAsia="it-IT"/>
        </w:rPr>
        <w:t>Daloiso</w:t>
      </w:r>
      <w:proofErr w:type="spellEnd"/>
      <w:r w:rsidRPr="0078361C">
        <w:rPr>
          <w:rFonts w:ascii="Tahoma" w:eastAsia="Times New Roman" w:hAnsi="Tahoma" w:cs="Tahoma"/>
          <w:color w:val="3D3B39"/>
          <w:lang w:eastAsia="it-IT"/>
        </w:rPr>
        <w:t xml:space="preserve">, con domicilio eletto presso lo studio dell’Avvocato Alfredo Placidi in Roma, via Cosseria, n. 2; </w:t>
      </w:r>
      <w:r w:rsidRPr="0078361C">
        <w:rPr>
          <w:rFonts w:ascii="Tahoma" w:eastAsia="Times New Roman" w:hAnsi="Tahoma" w:cs="Tahoma"/>
          <w:color w:val="3D3B39"/>
          <w:lang w:eastAsia="it-IT"/>
        </w:rPr>
        <w:br/>
        <w:t xml:space="preserve">Regione Puglia, non costituita in giudizio;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per la riforma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della sentenza del T.A.R. per la Puglia, sede di Bari, sez. I, n. 867/2016, resa tra le parti, che ha in parte dichiarato improcedibile ed in parte respinto il ricorso rubricato sub nr. 710/2015 Ruolo Generale proposto dalla odierna appellante dinanzi il T.A.R. per la Puglia, sede di Bari,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quanto al ricorso principale: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-per l’annullamento, previa sospensiva, della deliberazione del Direttore Generale della ASL di Foggia n. 315 del 12 marzo 2015;</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ove occorra, della delibera n. 227 del 24 febbraio 2015, non notificata all’interessata e conosciuta solo incidentalmente, nella parte in cui stabilisce il carattere sperimentale della prestazione oggetto della convenzione di cui alla delibera n. 974 del 3 settembre 2014;</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 di ogni altro atto ai predetti comunque connesso, presupposto o consequenziale e per il </w:t>
      </w:r>
      <w:r w:rsidRPr="0078361C">
        <w:rPr>
          <w:rFonts w:ascii="Tahoma" w:eastAsia="Times New Roman" w:hAnsi="Tahoma" w:cs="Tahoma"/>
          <w:color w:val="3D3B39"/>
          <w:lang w:eastAsia="it-IT"/>
        </w:rPr>
        <w:lastRenderedPageBreak/>
        <w:t>risarcimento del danno.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quanto ai motivi aggiunti: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per l’annullamento della deliberazione di D.G. n. 130 dell’8 febbraio 2016 di annullamento delle deliberazioni del D.G. n. 162/B del 23 dicembre 2013; n. 318 del 17 marzo 2014; n. 974 del 2 settembre 2014; n. 227 del 24 febbraio 2015, nonché recante la declaratoria di inefficacia dell’accordo contrattuale stipulato con la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s.r.l. il 3 settembre 2014;</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nonché per l’accertamento del diritto della società ricorrente al risarcimento del danno ingiusto, derivante dai provvedimenti sopra indicati, e dal comportamento tenuto dall’Azienda, e per la condanna dell’Amministrazione al pagamento, in favore della stessa ricorrente, delle somme che verranno accertate, oltre gli interessi e la rivalutazione monetaria come per legge, dalla data di maturazione del diritto sino al soddisfo.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visti il ricorso in appello e i relativi allegati;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visto l’atto di costituzione in giudizio dell’Azienda Sanitaria Locale della Provincia di Foggia;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viste le memorie difensive;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visti tutti gli atti della causa;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relatore nell’udienza pubblica del giorno 2 marzo 2017 il Consigliere Massimiliano </w:t>
      </w:r>
      <w:proofErr w:type="spellStart"/>
      <w:r w:rsidRPr="0078361C">
        <w:rPr>
          <w:rFonts w:ascii="Tahoma" w:eastAsia="Times New Roman" w:hAnsi="Tahoma" w:cs="Tahoma"/>
          <w:color w:val="3D3B39"/>
          <w:lang w:eastAsia="it-IT"/>
        </w:rPr>
        <w:t>Noccelli</w:t>
      </w:r>
      <w:proofErr w:type="spellEnd"/>
      <w:r w:rsidRPr="0078361C">
        <w:rPr>
          <w:rFonts w:ascii="Tahoma" w:eastAsia="Times New Roman" w:hAnsi="Tahoma" w:cs="Tahoma"/>
          <w:color w:val="3D3B39"/>
          <w:lang w:eastAsia="it-IT"/>
        </w:rPr>
        <w:t xml:space="preserve"> e uditi per l’odierna appellante,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xml:space="preserve">. s.r.l., l’Avvocato Alvise Vergerio su delega dell’Avvocato Giovanni Vittorio Nardelli e, per l’odierna appellata, l’Azienda Sanitaria Locale della Provincia di Foggia, l’Avvocato Raffaele </w:t>
      </w:r>
      <w:proofErr w:type="spellStart"/>
      <w:r w:rsidRPr="0078361C">
        <w:rPr>
          <w:rFonts w:ascii="Tahoma" w:eastAsia="Times New Roman" w:hAnsi="Tahoma" w:cs="Tahoma"/>
          <w:color w:val="3D3B39"/>
          <w:lang w:eastAsia="it-IT"/>
        </w:rPr>
        <w:t>Daloiso</w:t>
      </w:r>
      <w:proofErr w:type="spellEnd"/>
      <w:r w:rsidRPr="0078361C">
        <w:rPr>
          <w:rFonts w:ascii="Tahoma" w:eastAsia="Times New Roman" w:hAnsi="Tahoma" w:cs="Tahoma"/>
          <w:color w:val="3D3B39"/>
          <w:lang w:eastAsia="it-IT"/>
        </w:rPr>
        <w:t>;</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ritenuto e considerato in fatto e diritto quanto segue.</w:t>
      </w:r>
    </w:p>
    <w:p w:rsidR="0078361C" w:rsidRPr="0078361C" w:rsidRDefault="0078361C" w:rsidP="0078361C">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b/>
          <w:bCs/>
          <w:color w:val="3D3B39"/>
          <w:lang w:eastAsia="it-IT"/>
        </w:rPr>
        <w:t>FATTO e DIRITTO</w:t>
      </w:r>
    </w:p>
    <w:p w:rsidR="0078361C" w:rsidRPr="0078361C" w:rsidRDefault="0078361C" w:rsidP="0078361C">
      <w:pPr>
        <w:spacing w:after="265" w:line="240" w:lineRule="auto"/>
        <w:rPr>
          <w:rFonts w:ascii="Tahoma" w:eastAsia="Times New Roman" w:hAnsi="Tahoma" w:cs="Tahoma"/>
          <w:color w:val="3D3B39"/>
          <w:lang w:eastAsia="it-IT"/>
        </w:rPr>
      </w:pPr>
      <w:r w:rsidRPr="0078361C">
        <w:rPr>
          <w:rFonts w:ascii="Tahoma" w:eastAsia="Times New Roman" w:hAnsi="Tahoma" w:cs="Tahoma"/>
          <w:color w:val="3D3B39"/>
          <w:lang w:eastAsia="it-IT"/>
        </w:rPr>
        <w:t>1. Con avviso per manifestazione di interesse, l’Azienda Sanitaria Locale della Provincia di Foggia (di qui in avanti, per brevità, l’Azienda) ha pubblicato sul Bollettino Ufficiale della Regione Puglia un bando volto ad acquisire la disponibilità, in ambito locale, dei servizi e dell’attività di una struttura per la prevenzione e la cura dei disturbi del comportamento alimentare, in dichiarata attuazione delle indicazioni del Piano Regionale della Salute 2008-2010, approvato con legge regionale n. 23 del 19 settembre 2008.</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1.1. L’odierna appellante,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xml:space="preserve">. s.r.l., è stata quindi individuata quale soggetto privato con il quale sottoscrivere l’accordo per le prestazioni sanitarie connesse ai disturbi del comportamento alimentare (DCA) e, quindi, con deliberazione n. 974 del 2 settembre 2014 è stata individuata la struttura sanitaria, denominata “Ali di Farfalla”, gestita da tale società, per l’erogazione dei servizi sanitari in materia di DCA prescritti dal Piano sanitario regionale nell’ambito dell’Azienda, con approvazione della convenzione che stabiliva le tariffe per le prestazioni relative all’attività semiresidenziale, in regime ambulatoriale e di </w:t>
      </w:r>
      <w:proofErr w:type="spellStart"/>
      <w:r w:rsidRPr="0078361C">
        <w:rPr>
          <w:rFonts w:ascii="Tahoma" w:eastAsia="Times New Roman" w:hAnsi="Tahoma" w:cs="Tahoma"/>
          <w:color w:val="3D3B39"/>
          <w:lang w:eastAsia="it-IT"/>
        </w:rPr>
        <w:t>day</w:t>
      </w:r>
      <w:proofErr w:type="spellEnd"/>
      <w:r w:rsidRPr="0078361C">
        <w:rPr>
          <w:rFonts w:ascii="Tahoma" w:eastAsia="Times New Roman" w:hAnsi="Tahoma" w:cs="Tahoma"/>
          <w:color w:val="3D3B39"/>
          <w:lang w:eastAsia="it-IT"/>
        </w:rPr>
        <w:t xml:space="preserve"> hospital.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1.2. L’accordo contrattuale è stato sottoscritto il 3 settembre 2014.</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1.3. Con la delibera n. 315 del 12 marzo 2015, tuttavia, l’Azienda ha proceduto alla revoca, ai sensi dell’art. 21-quinquies della l. n. 241 del 1990, delle precedenti deliberazioni e ha dichiarato, contestualmente, di recedere dall’accordo contrattuale sottoscritto il 3 settembre 2014, rilevando la mancata adozione, nelle more, del regolamento regionale di organizzazione e funzionamento delle </w:t>
      </w:r>
      <w:r w:rsidRPr="0078361C">
        <w:rPr>
          <w:rFonts w:ascii="Tahoma" w:eastAsia="Times New Roman" w:hAnsi="Tahoma" w:cs="Tahoma"/>
          <w:color w:val="3D3B39"/>
          <w:lang w:eastAsia="it-IT"/>
        </w:rPr>
        <w:lastRenderedPageBreak/>
        <w:t>strutture per la prevenzione e per la cura dei disturbi del comportamento alimentare.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1.4. Contro tale delibera di revoca, di cui ha dedotto l’illegittimità per cinque motivi,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s.r.l. ha proposto ricorso avanti al T.A.R. per la Puglia, sede di Bari, chiedendone, previa sospensione, l’annullamento e il conseguente risarcimento del danno.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1.5. Si è costituita nel primo grado del giudizio l’Azienda resistente per chiedere la reiezione del ricorso.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1.6. Il T.A.R. per la Puglia, sede di Bari, con l’ordinanza n. 348 del 2015, ha sospeso il provvedimento di revoca.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1.7. Successivamente l’Azienda, con delibera n. 130 dell’8 febbraio 2016 del Direttore Generale, ha attivato una completa revisione del procedimento e ha provveduto ad annullare in via di autotutela la convenzione e tutti gli atti prodromici alla stessa, a partite dalla decisione di far fronte al fabbisogno di cura nel settore dei DCA tramite cooperazione con le strutture private.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1.8. Avverso tale ulteriore delibera la società ha proposto motivi aggiunti, deducendo cinque censure, e ne ha chiesto l’annullamento, con conseguente risarcimento del danno.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1.9. L’Amministrazione ha chiesto la reiezione anche di tali motivi aggiunti.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1.10. Il T.A.R. per la Puglia, sede di Bari, con la sentenza n. 867 del 7 luglio 2016, ha dichiarato improcedibile il ricorso originario, essendo sopraggiunta la delibera n. 130 dell’8 febbraio 2016, e ha respinto i motivi aggiunti con la connessa domanda risarcitoria.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2. Avverso tale sentenza ha proposto appello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xml:space="preserve">. s.r.l., deducendo sei motivi che saranno di seguito esaminati, e ne ha chiesto la riforma, con conseguente annullamento della delibera n. 130 dell’8 febbraio 2016 e risarcimento del danno, previo, se del caso, espletamento di </w:t>
      </w:r>
      <w:proofErr w:type="spellStart"/>
      <w:r w:rsidRPr="0078361C">
        <w:rPr>
          <w:rFonts w:ascii="Tahoma" w:eastAsia="Times New Roman" w:hAnsi="Tahoma" w:cs="Tahoma"/>
          <w:color w:val="3D3B39"/>
          <w:lang w:eastAsia="it-IT"/>
        </w:rPr>
        <w:t>c.t.u</w:t>
      </w:r>
      <w:proofErr w:type="spellEnd"/>
      <w:r w:rsidRPr="0078361C">
        <w:rPr>
          <w:rFonts w:ascii="Tahoma" w:eastAsia="Times New Roman" w:hAnsi="Tahoma" w:cs="Tahoma"/>
          <w:color w:val="3D3B39"/>
          <w:lang w:eastAsia="it-IT"/>
        </w:rPr>
        <w:t>. per la sua quantificazione.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2.1. Si è costituita l’Azienda appellata, che con memoria difensiva depositata il 14 febbraio 2017 ha replicato alle avversarie censure.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2.2. Nella pubblica udienza del 2 marzo 2017 il Collegio, sentiti i difensori delle parti, ha trattenuto la causa in decisione.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3. Con il primo motivo (pp. 11-13 del ricorso) l’odierna appellante chiede a rimessione della causa al primo giudice per essersi celebrata l’udienza di discussione in primo grado senza il rispetto dei termini di cui all’art. 71 </w:t>
      </w:r>
      <w:proofErr w:type="spellStart"/>
      <w:r w:rsidRPr="0078361C">
        <w:rPr>
          <w:rFonts w:ascii="Tahoma" w:eastAsia="Times New Roman" w:hAnsi="Tahoma" w:cs="Tahoma"/>
          <w:color w:val="3D3B39"/>
          <w:lang w:eastAsia="it-IT"/>
        </w:rPr>
        <w:t>c.p.a</w:t>
      </w:r>
      <w:proofErr w:type="spellEnd"/>
      <w:r w:rsidRPr="0078361C">
        <w:rPr>
          <w:rFonts w:ascii="Tahoma" w:eastAsia="Times New Roman" w:hAnsi="Tahoma" w:cs="Tahoma"/>
          <w:color w:val="3D3B39"/>
          <w:lang w:eastAsia="it-IT"/>
        </w:rPr>
        <w:t xml:space="preserve">. e per avere il primo giudice dichiarato inammissibile una parte del ricorso – in particolare il quarto dei motivi aggiunti – per difetto di interesse senza l’avviso di cui all’art. 73, comma 3, </w:t>
      </w:r>
      <w:proofErr w:type="spellStart"/>
      <w:r w:rsidRPr="0078361C">
        <w:rPr>
          <w:rFonts w:ascii="Tahoma" w:eastAsia="Times New Roman" w:hAnsi="Tahoma" w:cs="Tahoma"/>
          <w:color w:val="3D3B39"/>
          <w:lang w:eastAsia="it-IT"/>
        </w:rPr>
        <w:t>c.p.a</w:t>
      </w:r>
      <w:proofErr w:type="spellEnd"/>
      <w:r w:rsidRPr="0078361C">
        <w:rPr>
          <w:rFonts w:ascii="Tahoma" w:eastAsia="Times New Roman" w:hAnsi="Tahoma" w:cs="Tahoma"/>
          <w:color w:val="3D3B39"/>
          <w:lang w:eastAsia="it-IT"/>
        </w:rPr>
        <w:t>.</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3.1. Il motivo è destituito di fondamento.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3.2. La presente controversia è, infatti, soggetta alla </w:t>
      </w:r>
      <w:proofErr w:type="spellStart"/>
      <w:r w:rsidRPr="0078361C">
        <w:rPr>
          <w:rFonts w:ascii="Tahoma" w:eastAsia="Times New Roman" w:hAnsi="Tahoma" w:cs="Tahoma"/>
          <w:color w:val="3D3B39"/>
          <w:lang w:eastAsia="it-IT"/>
        </w:rPr>
        <w:t>dimidiazione</w:t>
      </w:r>
      <w:proofErr w:type="spellEnd"/>
      <w:r w:rsidRPr="0078361C">
        <w:rPr>
          <w:rFonts w:ascii="Tahoma" w:eastAsia="Times New Roman" w:hAnsi="Tahoma" w:cs="Tahoma"/>
          <w:color w:val="3D3B39"/>
          <w:lang w:eastAsia="it-IT"/>
        </w:rPr>
        <w:t xml:space="preserve"> dei termini di cui all’art. 119, comma 2, </w:t>
      </w:r>
      <w:proofErr w:type="spellStart"/>
      <w:r w:rsidRPr="0078361C">
        <w:rPr>
          <w:rFonts w:ascii="Tahoma" w:eastAsia="Times New Roman" w:hAnsi="Tahoma" w:cs="Tahoma"/>
          <w:color w:val="3D3B39"/>
          <w:lang w:eastAsia="it-IT"/>
        </w:rPr>
        <w:t>c.p.a</w:t>
      </w:r>
      <w:proofErr w:type="spellEnd"/>
      <w:r w:rsidRPr="0078361C">
        <w:rPr>
          <w:rFonts w:ascii="Tahoma" w:eastAsia="Times New Roman" w:hAnsi="Tahoma" w:cs="Tahoma"/>
          <w:color w:val="3D3B39"/>
          <w:lang w:eastAsia="it-IT"/>
        </w:rPr>
        <w:t>., avendo ad oggetto la revoca e, poi, l’annullamento d’ufficio dell’affidamento della gestione dei servizi ed attività per la prevenzione e la cura dei disturbi del comportamento alimentare.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3.3. Lo stesso ricorso di primo grado, proposto dall’odierna appellante, è rubricato «ricorso ex art. 119», non lasciando alcun dubbio, proprio per lo stesso comportamento processuale di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xml:space="preserve">. s.r.l., che essa stessa abbia inteso incardinare la controversia in materia – quella dei pubblici </w:t>
      </w:r>
      <w:r w:rsidRPr="0078361C">
        <w:rPr>
          <w:rFonts w:ascii="Tahoma" w:eastAsia="Times New Roman" w:hAnsi="Tahoma" w:cs="Tahoma"/>
          <w:color w:val="3D3B39"/>
          <w:lang w:eastAsia="it-IT"/>
        </w:rPr>
        <w:lastRenderedPageBreak/>
        <w:t xml:space="preserve">appalti – soggetta alla disciplina processuale dell’art. 119 </w:t>
      </w:r>
      <w:proofErr w:type="spellStart"/>
      <w:r w:rsidRPr="0078361C">
        <w:rPr>
          <w:rFonts w:ascii="Tahoma" w:eastAsia="Times New Roman" w:hAnsi="Tahoma" w:cs="Tahoma"/>
          <w:color w:val="3D3B39"/>
          <w:lang w:eastAsia="it-IT"/>
        </w:rPr>
        <w:t>c.p.a</w:t>
      </w:r>
      <w:proofErr w:type="spellEnd"/>
      <w:r w:rsidRPr="0078361C">
        <w:rPr>
          <w:rFonts w:ascii="Tahoma" w:eastAsia="Times New Roman" w:hAnsi="Tahoma" w:cs="Tahoma"/>
          <w:color w:val="3D3B39"/>
          <w:lang w:eastAsia="it-IT"/>
        </w:rPr>
        <w:t>.</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3.4. Peraltro, come ha correttamente eccepito la difesa dell’Azienda nella memoria depositata il 14 febbraio 2017, le parti si sono sempre avvalse, nel corso del primo grado del giudizio, della </w:t>
      </w:r>
      <w:proofErr w:type="spellStart"/>
      <w:r w:rsidRPr="0078361C">
        <w:rPr>
          <w:rFonts w:ascii="Tahoma" w:eastAsia="Times New Roman" w:hAnsi="Tahoma" w:cs="Tahoma"/>
          <w:color w:val="3D3B39"/>
          <w:lang w:eastAsia="it-IT"/>
        </w:rPr>
        <w:t>dimidiazione</w:t>
      </w:r>
      <w:proofErr w:type="spellEnd"/>
      <w:r w:rsidRPr="0078361C">
        <w:rPr>
          <w:rFonts w:ascii="Tahoma" w:eastAsia="Times New Roman" w:hAnsi="Tahoma" w:cs="Tahoma"/>
          <w:color w:val="3D3B39"/>
          <w:lang w:eastAsia="it-IT"/>
        </w:rPr>
        <w:t xml:space="preserve"> dei termini per il deposito delle proprie memorie difensive e dei documenti.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3.5. Quanto alla declaratoria di inammissibilità dei motivi aggiunti, che non sarebbe stata preceduta dall’avviso di cui all’art. 73, comma 3, </w:t>
      </w:r>
      <w:proofErr w:type="spellStart"/>
      <w:r w:rsidRPr="0078361C">
        <w:rPr>
          <w:rFonts w:ascii="Tahoma" w:eastAsia="Times New Roman" w:hAnsi="Tahoma" w:cs="Tahoma"/>
          <w:color w:val="3D3B39"/>
          <w:lang w:eastAsia="it-IT"/>
        </w:rPr>
        <w:t>c.p.a</w:t>
      </w:r>
      <w:proofErr w:type="spellEnd"/>
      <w:r w:rsidRPr="0078361C">
        <w:rPr>
          <w:rFonts w:ascii="Tahoma" w:eastAsia="Times New Roman" w:hAnsi="Tahoma" w:cs="Tahoma"/>
          <w:color w:val="3D3B39"/>
          <w:lang w:eastAsia="it-IT"/>
        </w:rPr>
        <w:t>., tale inammissibilità è stata eccepita dalla difesa dell’Azienda nella memoria difensiva del 2 maggio 2016 avanti al T.A.R., che ha accolto la relativa eccezione, senza rilevare d’ufficio la questione in difetto di contraddittorio, come invece a torto presuppone l’odierna appellante.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3.6. Il motivo, pertanto, va respinto, in quanto infondato.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4. Con il secondo motivo (pp. 13-17 del ricorso) l’odierna appellante lamenta la violazione dell’art. 21-nonies, comma 1, della l. n. 241 del 1990 perché assume che illegittimamente il primo giudice abbia ritenuto che il termine di 18 mesi per l’esercizio del potere di autotutela decorresse dall’ultimo atto annullato e non dagli atti prodromici, risalenti finanche al 2013, che hanno dato l’avvio alla procedura di cui è causa.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4.1. Il motivo è infondato.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4.2. Correttamente il primo giudice ha ritenuto, infatti, che il </w:t>
      </w:r>
      <w:proofErr w:type="spellStart"/>
      <w:r w:rsidRPr="0078361C">
        <w:rPr>
          <w:rFonts w:ascii="Tahoma" w:eastAsia="Times New Roman" w:hAnsi="Tahoma" w:cs="Tahoma"/>
          <w:color w:val="3D3B39"/>
          <w:lang w:eastAsia="it-IT"/>
        </w:rPr>
        <w:t>dies</w:t>
      </w:r>
      <w:proofErr w:type="spellEnd"/>
      <w:r w:rsidRPr="0078361C">
        <w:rPr>
          <w:rFonts w:ascii="Tahoma" w:eastAsia="Times New Roman" w:hAnsi="Tahoma" w:cs="Tahoma"/>
          <w:color w:val="3D3B39"/>
          <w:lang w:eastAsia="it-IT"/>
        </w:rPr>
        <w:t xml:space="preserve"> a quo per computare il termine di 18 mesi, previsto dall’art. 21-nonies, comma 1, della l. n. 241 del 1990, decorresse dall’emanazione del provvedimento attributivo di un effettivo vantaggio economico, costituito, nel caso di specie, dalla deliberazione n. 974 del 2 settembre 2014, con la quale all’odierna appellante è stato affidato il servizio ed è stato approvato lo schema della relativa convenzione (p. 12 della sentenza impugnata).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4.3. È solo questo, in effetti, il momento effettivo dal quale è possibile far decorrere tale termine, in quanto gli atti prodromici della procedura di gara non potevano attribuire alcun vantaggio economico, concretizzatosi soltanto con la detta deliberazione, recante l’affidamento del servizio.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4.4. Coglie nel segno anche l’ulteriore osservazione del T.A.R., secondo cui il lasso di tempo trascorso tra tale deliberazione e l’annullamento – 17 mesi e 6 giorni – risulta nel caso di specie ragionevole, in quanto il servizio di cui è causa non ha avuto nemmeno un principio di esecuzione e, inoltre, già prima dello stesso annullamento l’affidamento del servizio era stato revocato con la deliberazione n. 315 del 2015, circa cinque mesi dopo la sottoscrizione dell’accordo.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4.5. Le censure sul punto formulate dall’appellante (pp. 16-17 del ricorso) non appaiono condivisibili, perché, proprio per le ragioni sin qui vedute, non si era consolidato alcune legittimo affidamento del privato sul consolidamento dei propri diritti e sull’esecuzione del contratto.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5. Con il terzo motivo (pp. 17-21 del ricorso) l’odierna appellante lamenta che erroneamente il primo giudice avrebbe ritenuto inammissibile la violazione dell’art. 7 della l. n. 241 del 1990, così addossando al privato oneri invece incombenti all’Amministrazione.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5.1. L’appellante eccepisce, anzitutto, che l’annullamento d’ufficio è un provvedimento tutt’altro che vincolato, ai sensi e per gli effetti dell’art. 21-octies della l. n. 241 del 1990, e che non può trovare applicazione, come ha ritenuto il primo giudice, l’art. 21-octies, comma 2, ultimo periodo, della stessa l. n. 241 del 1990.</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5.2. In subordine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xml:space="preserve">. s.r.l. deduce di non ritenere condivisibile l’assunto del T.A.R., secondo </w:t>
      </w:r>
      <w:r w:rsidRPr="0078361C">
        <w:rPr>
          <w:rFonts w:ascii="Tahoma" w:eastAsia="Times New Roman" w:hAnsi="Tahoma" w:cs="Tahoma"/>
          <w:color w:val="3D3B39"/>
          <w:lang w:eastAsia="it-IT"/>
        </w:rPr>
        <w:lastRenderedPageBreak/>
        <w:t>il quale essa avrebbe dovuto allegare quali siano gli elementi conoscitivi che avrebbe introdotto nel procedimento ove avesse ricevuto la comunicazione.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5.3. Tale interpretazione, secondo l’appellante, sfugge alla lettera della legge che, al contrario, onera l’Amministrazione di dimostrare in giudizio che il contenuto del provvedimento non avrebbe potuto essere diverso da quello in concreto adottato.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5.4. L’art. 21-octies, comma 2, della l. n. 241 del 1990 si riferisce a casi nei quali l’Amministrazione ha già violato la legge e privato il cittadino del diritto alla partecipazione procedimentale, sicché deve essere l’Amministrazione a dimostrare che la riscontrata illegittimità non possa condurre anche all’annullamento dell’atto.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5.5. Infine, rileva l’appellante, la ricorrente aveva comunque indicato in giudizio gli elementi conoscitivi che avrebbero potuto portare il procedimento amministrativo di annullamento ad esito diverso e consentito al giudice di verificare l’eventuale incidenza sostanziale dell’omessa partecipazione al procedimento sul contenuto dell’atto finale.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5.6. Il motivo è infondato e va respinto.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5.7. Il T.A.R. per la Puglia ha correttamente rilevato, infatti, che non è possibile apprezzare quale sia l’effettivo interesse ritraibile dall’accoglimento della censura in esame, non avendo la ricorrente allegato «gli elementi conoscitivi che sarebbero stati presumibilmente introdotti nel procedimento di riesame e suscettibili di determinarne un diverso esito procedimentale, in tal modo non consentendo al giudice di verificare l’eventuale incidenza sostanziale dell’omessa partecipazione procedimentale sul contenuto dell’atto finale» (p. 11 della sentenza impugnata).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 Si tratta di valutazione immune da censura perché rispondente al consolidato orientamento di questo Consiglio di Stato, </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6.1. L’art. 21-octies, comma secondo, della l. n. 241 del 1990 prevede, nel primo periodo, che «non è annullabile il provvedimento adottato in violazione di norme sul procedimento o sulla forma degli atti qualora, per la natura vincolata del provvedimento, sia palese che il suo contenuto dispositivo non avrebbe potuto essere diverso da quello in concreto adottato» e, nel secondo periodo, che «il provvedimento amministrativo non è comunque annullabile per mancata comunicazione dell’avvio del procedimento qualora l’amministrazione dimostri in giudizio che il contenuto del provvedimento non avrebbe potuto essere diverso da quello in concreto adottato».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6.2. Questa disposizione distingue due diverse fattispecie.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6.3. La prima è generale e riguarda il caso in cui l’attività amministrativa sia vincolata e l’Amministrazione abbia violato una disposizione che contempla un requisito formale o procedimentale.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6.4. La seconda ha carattere particolare e riguarda il caso in cui sia violata la disposizione che contempla il requisito procedimentale della comunicazione di avvio del procedimento.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6.5. Tale ultima fattispecie, contrariamente a quanto assume l’appellante, si applica in presenza di attività sia vincolata che discrezionale (e anche quando, come nel caso di specie, si tratta di una valutazione di discrezionalità tecnica).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6.6. La più recente giurisprudenza del Consiglio di Stato, facendo riferimento – per ragioni di efficienza e speditezza – a un’accezione sostanzialistica della violazione dell’art. 7 della l. n. 241 del 1990, ha affermato che l’interessato che lamenta la violazione dell’obbligo di comunicazione </w:t>
      </w:r>
      <w:r w:rsidRPr="0078361C">
        <w:rPr>
          <w:rFonts w:ascii="Tahoma" w:eastAsia="Times New Roman" w:hAnsi="Tahoma" w:cs="Tahoma"/>
          <w:color w:val="3D3B39"/>
          <w:lang w:eastAsia="it-IT"/>
        </w:rPr>
        <w:lastRenderedPageBreak/>
        <w:t>dell’avvio del procedimento ha anche l’onere di allegare e dimostrare che, grazie alla comunicazione, egli avrebbe potuto sottoporre all’Amministrazione elementi che avrebbero potuto condurla a una diversa determinazione da quella che invece ha assunto.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6.7. «È vero che tale norma pone in capo all’Amministrazione (e non del privato) l’onere di dimostrare, in caso di mancata comunicazione dell’avvio, che l’esito del procedimento non poteva essere diverso», ma «onde evitare di gravare la p.a. di una </w:t>
      </w:r>
      <w:proofErr w:type="spellStart"/>
      <w:r w:rsidRPr="0078361C">
        <w:rPr>
          <w:rFonts w:ascii="Tahoma" w:eastAsia="Times New Roman" w:hAnsi="Tahoma" w:cs="Tahoma"/>
          <w:color w:val="3D3B39"/>
          <w:lang w:eastAsia="it-IT"/>
        </w:rPr>
        <w:t>probatio</w:t>
      </w:r>
      <w:proofErr w:type="spellEnd"/>
      <w:r w:rsidRPr="0078361C">
        <w:rPr>
          <w:rFonts w:ascii="Tahoma" w:eastAsia="Times New Roman" w:hAnsi="Tahoma" w:cs="Tahoma"/>
          <w:color w:val="3D3B39"/>
          <w:lang w:eastAsia="it-IT"/>
        </w:rPr>
        <w:t xml:space="preserve"> diabolica (quale sarebbe quella consistente nel dimostrare che ogni eventuale contributo partecipativo del privato non avrebbe mutato l’esito del procedimento), risulta preferibile interpretare la norma in esame nel senso che il privato non possa limitarsi a dolersi della mancata comunicazione di avvio, ma debba anche quantomeno indicare o allegare quali sono gli elementi conoscitivi che avrebbe introdotto nel procedimento ove avesse ricevuto la comunicazione», sicché «solo dopo che il ricorrente ha adempiuto questo onere di allegazione (che la norma implicitamente pone a suo carico), la p.a. sarà gravata dal ben più consistente onere di dimostrare che, anche ove quegli elementi fossero stati valutati, il contenuto dispositivo del provvedimento non sarebbe mutato» e che «ove il privato si limiti a contestare la mancata comunicazione di avvio, senza nemmeno allegare le circostanze che intendeva sottoporre all’Amministrazione, il motivo con cui si lamenta la mancata comunicazione deve ritenersi inammissibile»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 sez. VI, 29 luglio 2008, n. 3786).</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6.8. Nello stesso senso altre pronunce –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xml:space="preserve">. St., sez. V, 18 aprile 2012, n. 2257,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xml:space="preserve">. St., sez. V, 5 dicembre 2014, n. 5989,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 sez. VI, 4 marzo 2015, n. 1060 – hanno posto in rilievo come l’art. 21-octies debba essere interpretato nel senso di «evitare che l’amministrazione sia onerata in giudizio di una prova diabolica, e cioè della dimostrazione che il provvedimento non avrebbe potuto avere contenuto diverso in relazione a tutti i possibili contenuti ipotizzabili, per cui si deve comunque porre previamente a carico del privato l’onere di indicare, quanto meno in termini di allegazione processuale, quali elementi conoscitivi avrebbe introdotto nel procedimento, se previamente comunicatogli, onde indirizzare l’amministrazione verso una decisione diversa da quella assunta».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6.9. L’onere di allegazione del privato deve consistere nella prospettazione di elementi che, implicando valutazioni di merito (amministrativo o tecnico), possono trovare ingresso esclusivamente nel corso del procedimento sostanziale e non anche nel processo davanti al giudice.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6.10. Gli elementi di legittimità possono, invece, essere allegati anche nel solo processo, con la conseguenza che il giudizio sul vizio procedimentale, se fondatamente lamentato, assorbe il giudizio sulla fondatezza della domanda giudiziale.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6.11. Se invece la domanda, basata su un siffatto motivo, è infondata, il vizio di mancata comunicazione procedimentale non rileva perché la comunicazione, ove effettuata, comunque non avrebbe potuto condurre all’adozione di un provvedimento diverso – a proposito di una tale doglianza – da quello in concreto adottato (v., ex </w:t>
      </w:r>
      <w:proofErr w:type="spellStart"/>
      <w:r w:rsidRPr="0078361C">
        <w:rPr>
          <w:rFonts w:ascii="Tahoma" w:eastAsia="Times New Roman" w:hAnsi="Tahoma" w:cs="Tahoma"/>
          <w:color w:val="3D3B39"/>
          <w:lang w:eastAsia="it-IT"/>
        </w:rPr>
        <w:t>plurimis</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 sez. VI, 4 marzo 2015, n. 1060).</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6.12. Ebbene, tutto ciò considerando, la statuizione del primo giudice è scevra da errore in quanto: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ha fatto corretta applicazione dei principî ermeneutici relativi all’art. 21-octies della l. n. 241 del 1990 appena ricordati al caso di specie, riferendosi detti principî anche ad un provvedimento a contenuto tipicamente discrezionale qual è l’annullamento d’ufficio;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ha rilevato che il secondo dei motivi aggiunti proposti in primo grado (pp. 11-12 del relativo ricorso) non conteneva alcuna allegazione degli elementi conoscitivi che l’Amministrazione avrebbe dovuto prendere in considerazione in sede procedimentale;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lastRenderedPageBreak/>
        <w:br/>
        <w:t>- ha ritenuto conseguentemente inammissibile, per il suo tenore formalistico e l’assenza di contenuti sostanziali, la violazione inerente alla violazione dell’art. 7 della l. n. 241 del 1990.</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6.13. Né tale motivazione è superata dall’obiezione secondo cui la ricorrente aveva comunque, in primo grado, allegato tali elementi conoscitivi, consistenti negli «investimenti effettuati dalla ricorrente (e quindi la valutazione degli interessi della medesima avrebbe potuto comportare un esito diverso del procedimento) e quindi dalle somme richieste con la domanda risarcitoria a motivo delle ingenti spese sostenute facendo affidamento sulla legittimità degli atti della ASL ma anche e soprattutto dalle censure di merito relative al decorso di 18 mesi dalla emanazione degli atti indittivi della gara e dalle osservazioni relative alla legittimità delle originarie delibere ASL e dalla incolpevole posizione della ricorrente» (p. 21 del ricorso).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6.14. Questi elementi attengono, in realtà, alle pretese risarcitorie dell’odierna appellante, come si dirà infondate, e non certo alla valutazione dell’interesse pubblico da parte dell’Azienda che, alla luce delle motivazioni che sorreggono l’annullamento in autotutela, non avrebbero potuto essere diverse, in considerazione del fatto dirimente, come subito si dirà esaminando il quarto motivo di appello, che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s.r.l. non era né autorizzata né accreditata per lo svolgimento del servizio.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6.15. Di qui, anche nel merito, l’infondatezza della censura, sul piano sostanziale, non costituendo detti elementi un reale apporto conoscitivo per la comparazione di interessi che l’Azienda, ma solo, per un verso, contestazioni sulla presunta illegittimità del suo agire e, per altro, singole voci di domanda risarcitoria.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7. Con il quarto motivo (pp. 21-29 del ricorso) l’odierna appellante deduce l’erroneità della sentenza impugnata per avere in parte respinto e in parte dichiarato inammissibile il quarto dei motivi aggiunti per il rilievo, assorbente, che l’Azienda si sarebbe avveduta che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s.r.l. non era dotata dell’autorizzazione regionale necessaria né dell’accreditamento richiesto al fine di partecipare alla selezione indetta dall’Azienda.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7.1. Tale motivazione del provvedimento ha indotto il primo giudice a ritenere legittimo l’annullamento in autotutela, con conseguente irrilevanza delle ulteriori censure formulate dalla ricorrente, per difetto di interesse, in quanto detta motivazione basta, da sola, a giustificare l’emissione del provvedimento.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7.2. L’appellante contesta la statuizione del T.A.R. poiché essa afferma di avere mosso alla deliberazione n. 130 del 2016 una censura, assorbente e di più ampio respiro, tesa in sostanza a stigmatizzare la possibilità di procedere all’annullamento di ufficio per carenza di un elemento (autorizzazione regionale ed accreditamento) non previsto dalla legge di gara e non richiesto al ricorrente che, pertanto, più che legittimamente avrebbe partecipato alla gara ed è stato individuato come destinatario dell’attività sanitaria oggetto dell’avviso.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7.3. L’avere censurato il provvedimento impugnato nella parte in cui, a suo dire illegittimamente, ha ritenuto indispensabile ex post il requisito dell’accreditamento, contrariamente a quanto l’Azienda in principio aveva manifestato e richiesto con l’avviso, avrebbe valenza maggiore – per l’</w:t>
      </w:r>
      <w:proofErr w:type="spellStart"/>
      <w:r w:rsidRPr="0078361C">
        <w:rPr>
          <w:rFonts w:ascii="Tahoma" w:eastAsia="Times New Roman" w:hAnsi="Tahoma" w:cs="Tahoma"/>
          <w:color w:val="3D3B39"/>
          <w:lang w:eastAsia="it-IT"/>
        </w:rPr>
        <w:t>argumentum</w:t>
      </w:r>
      <w:proofErr w:type="spellEnd"/>
      <w:r w:rsidRPr="0078361C">
        <w:rPr>
          <w:rFonts w:ascii="Tahoma" w:eastAsia="Times New Roman" w:hAnsi="Tahoma" w:cs="Tahoma"/>
          <w:color w:val="3D3B39"/>
          <w:lang w:eastAsia="it-IT"/>
        </w:rPr>
        <w:t xml:space="preserve"> a maiori – della semplice contestazione in ordine alla necessità, o meno, dell’accreditamento regionale.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7.4. L’accreditamento non solo non era richiesto in nessuno degli atti prodromici all’accordo contrattuale del 3 settembre 2014 né nel Piano della Salute né nelle Linee Guida ministeriali, ma soprattutto, secondo l’appellante, «lo svolgimento di tale attività da parte del privato avrebbe consentito di rimanere fuori dalla rete pubblica senza necessità dell’accreditamento» (p. 24 del ricorso).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lastRenderedPageBreak/>
        <w:br/>
        <w:t>7.5. La censura, anche al di là dei profili di inammissibilità eccepiti dall’Amministrazione, è radicalmente infondata.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7.6. Rispetto al dirimente rilievo che la società non possedesse l’autorizzazione regionale né l’accreditamento, come ha rilevato il primo giudice, l’odierna appellante in primo grado si è semplicemente limitata ad eccepire che tali requisiti non erano tra quelli prescritti dall’avviso al fine della partecipazione, senza contestare, dunque, che essa non li possedesse.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7.7. A tale evidente carenza, che una società qualificata operatrice del settore non può certo ignorare, non può certo supplire l’argomento, insostenibile, che lo svolgimento di tale attività, da parte del privato, avrebbe consentito di rimanere fuori dalla rete pubblica, senza necessità dell’accreditamento, essendo al contrario evidente che, nel nostro sistema, quantomeno ai sensi dell’art. 8-quater del d. </w:t>
      </w:r>
      <w:proofErr w:type="spellStart"/>
      <w:r w:rsidRPr="0078361C">
        <w:rPr>
          <w:rFonts w:ascii="Tahoma" w:eastAsia="Times New Roman" w:hAnsi="Tahoma" w:cs="Tahoma"/>
          <w:color w:val="3D3B39"/>
          <w:lang w:eastAsia="it-IT"/>
        </w:rPr>
        <w:t>lgs</w:t>
      </w:r>
      <w:proofErr w:type="spellEnd"/>
      <w:r w:rsidRPr="0078361C">
        <w:rPr>
          <w:rFonts w:ascii="Tahoma" w:eastAsia="Times New Roman" w:hAnsi="Tahoma" w:cs="Tahoma"/>
          <w:color w:val="3D3B39"/>
          <w:lang w:eastAsia="it-IT"/>
        </w:rPr>
        <w:t>. n. 502 del 1992 le strutture private, per erogare i servizi di cui è causa, devono essere dotate di autorizzazione regionale e di accreditamento.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7.8. Non giova all’appellante nemmeno eccepire che la sua censura investisse, radicalmente, la illegittimità di un provvedimento che evidenziava l’assenza di un requisito mai prima richiesto, perché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s.r.l. non poteva fare alcun legittimo affidamento sulla circostanza che di tale requisito, sol perché non menzionato espressamente negli atti precedenti, potesse fare a meno, costituendo esso un presupposto implicito, ma necessario, della stessa erogazione del servizio, come essa poteva e doveva ben sapere.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7.9. Di qui, con ogni evidenza, la totale infondatezza della censura, anche nella parte in cui, erroneamente, denuncia la illegittima declaratoria di parziale inammissibilità, per violazione dell’art. 73, comma 3, </w:t>
      </w:r>
      <w:proofErr w:type="spellStart"/>
      <w:r w:rsidRPr="0078361C">
        <w:rPr>
          <w:rFonts w:ascii="Tahoma" w:eastAsia="Times New Roman" w:hAnsi="Tahoma" w:cs="Tahoma"/>
          <w:color w:val="3D3B39"/>
          <w:lang w:eastAsia="it-IT"/>
        </w:rPr>
        <w:t>c.p.a</w:t>
      </w:r>
      <w:proofErr w:type="spellEnd"/>
      <w:r w:rsidRPr="0078361C">
        <w:rPr>
          <w:rFonts w:ascii="Tahoma" w:eastAsia="Times New Roman" w:hAnsi="Tahoma" w:cs="Tahoma"/>
          <w:color w:val="3D3B39"/>
          <w:lang w:eastAsia="it-IT"/>
        </w:rPr>
        <w:t>., del quarto motivo aggiunto in ordine alle ulteriori censure con esso sviluppate, dichiarate «assorbite» (p. 14 della sentenza impugnata), dovendosi qui ribadire che detta inammissibilità, come sopra rilevato, era stata puntualmente eccepita dall’Azienda senza che il contraddittorio sia stato violato.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7.10. Peraltro, deve qui solo aggiungersi, non incorre nella violazione del contraddittorio e dell’art. 73, comma 3, </w:t>
      </w:r>
      <w:proofErr w:type="spellStart"/>
      <w:r w:rsidRPr="0078361C">
        <w:rPr>
          <w:rFonts w:ascii="Tahoma" w:eastAsia="Times New Roman" w:hAnsi="Tahoma" w:cs="Tahoma"/>
          <w:color w:val="3D3B39"/>
          <w:lang w:eastAsia="it-IT"/>
        </w:rPr>
        <w:t>c.p.a</w:t>
      </w:r>
      <w:proofErr w:type="spellEnd"/>
      <w:r w:rsidRPr="0078361C">
        <w:rPr>
          <w:rFonts w:ascii="Tahoma" w:eastAsia="Times New Roman" w:hAnsi="Tahoma" w:cs="Tahoma"/>
          <w:color w:val="3D3B39"/>
          <w:lang w:eastAsia="it-IT"/>
        </w:rPr>
        <w:t>. la pronuncia che, nel confermare la legittimità di almeno una delle ragioni poste a base del provvedimento ed idonea da sola ad integrarne il corredo motivazionale, dichiari improcedibile per difetto di interesse, nel resto, il ricorso diretto a contestare le altre ragioni, senza averne dato il preventivo avviso previsto dal citata comma 3, stante la sufficienza di tale ragione, oggetto di censura, esaminata nel contraddittorio tra le parti e respinta dal giudice con efficacia assorbente.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7.11. Ne segue che le ulteriori censure mosse nel quarto dei motivi aggiunti correttamente sono state dichiarate inammissibili dal T.A.R. ed esse, qui riproposte dall’appellante, non possono per le stesse trovare ingresso nel presente grado di appello.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8. Con il quinto motivo (pp. 29-35 del ricorso) l’odierna appellante lamenta l’erroneità della sentenza impugnata nella parte in cui ha ritenuto che dall’annullamento in autotutela discendere l’inefficacia del contratto.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8.1.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s.r.l. sostiene che, alla luce dei principî affermati dall’Adunanza plenaria nella sentenza n. 14 del 2014, è escluso che l’Amministrazione possa, attraverso i propri poteri di autotutela decisoria, ottenere un risultato in ipotesi superiore a quello ottenibile dal contraente privato in sede giurisdizionale.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8.2. Il contratto, in altri termini, non poteva essere inefficace o, comunque, risolto mediante l’esercizio del potere di autotutela.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lastRenderedPageBreak/>
        <w:br/>
        <w:t>8.3. A tal fine l’appellante ripropone la domanda risarcitoria per il danno dell’interesse legittimo leso dallo scorretto esercizio del potere di autotutela.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8.4. Il motivo è infondato.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8.5. La problematica qui sollevata, invero assai complessa e dibattuta, è stata affrontata, tra l’altro, proprio dall’Adunanza plenaria di questo Consiglio che, nella richiamata sentenza n. 14 del 20 giugno 2014, dopo aver escluso che l’Amministrazione possa procedere alla revoca del contratto, di cui all’art. 21-quinquies della l. n. 241 del 1990, dopo la stipula del contratto stesso, ha espressamente ricordato che la possibilità dell’annullamento d’ufficio dell’aggiudicazione definitiva anche dopo detta stipula – al di là del richiamo, contenuto in tale pronuncia, all’art. 1, comma 136, della legge n. 311 del 2004, ora abrogato – sia «concordemente riconosciuta in giurisprudenza, con la caducazione automatica degli effetti negoziali del contratto per la stretta consequenzialità funzionale tra l’aggiudicazione della gara e la stipulazione dello stesso».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8.6. Un simile potere di annullamento in autotutela, nel preminente interesse pubblico al ripristino della legalità dell’azione amministrativa anzitutto da parte della stessa Amministrazione procedente, deve quindi riconoscersi a questa anche dopo l’aggiudicazione della gara e la stipulazione del contratto (v., sul punto, </w:t>
      </w:r>
      <w:proofErr w:type="spellStart"/>
      <w:r w:rsidRPr="0078361C">
        <w:rPr>
          <w:rFonts w:ascii="Tahoma" w:eastAsia="Times New Roman" w:hAnsi="Tahoma" w:cs="Tahoma"/>
          <w:color w:val="3D3B39"/>
          <w:lang w:eastAsia="it-IT"/>
        </w:rPr>
        <w:t>Cons</w:t>
      </w:r>
      <w:proofErr w:type="spellEnd"/>
      <w:r w:rsidRPr="0078361C">
        <w:rPr>
          <w:rFonts w:ascii="Tahoma" w:eastAsia="Times New Roman" w:hAnsi="Tahoma" w:cs="Tahoma"/>
          <w:color w:val="3D3B39"/>
          <w:lang w:eastAsia="it-IT"/>
        </w:rPr>
        <w:t>. St., sez. V, 26 giugno 2015, n. 3237), con conseguente inefficacia di quest’ultimo, e trova ora un solido fondamento normativo, dopo le recenti riforme della l. n. 124 del 2015, anche nella previsione dell’art. 21-nonies, comma 1, della l. n. 241 del 1990, laddove esso si riferisce anche ai provvedimenti attributivi di vantaggi economici, che non possono non ritenersi comprensivi anche dell’affidamento di una pubblica commessa.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8.7. Di qui la totale correttezza della sentenza impugnata, laddove ha osservato che «al venir meno con effetti ex </w:t>
      </w:r>
      <w:proofErr w:type="spellStart"/>
      <w:r w:rsidRPr="0078361C">
        <w:rPr>
          <w:rFonts w:ascii="Tahoma" w:eastAsia="Times New Roman" w:hAnsi="Tahoma" w:cs="Tahoma"/>
          <w:color w:val="3D3B39"/>
          <w:lang w:eastAsia="it-IT"/>
        </w:rPr>
        <w:t>nunc</w:t>
      </w:r>
      <w:proofErr w:type="spellEnd"/>
      <w:r w:rsidRPr="0078361C">
        <w:rPr>
          <w:rFonts w:ascii="Tahoma" w:eastAsia="Times New Roman" w:hAnsi="Tahoma" w:cs="Tahoma"/>
          <w:color w:val="3D3B39"/>
          <w:lang w:eastAsia="it-IT"/>
        </w:rPr>
        <w:t xml:space="preserve"> del provvedimento di affidamento del servizio conseguente agli evidenziati vizi genetici, senz’altro consegue la caducazione del contratto, in ragione del vincolo di stretta conseguenzialità funzionale che avvince tali atti» (p. 14 della sentenza impugnata).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8.8. Dal che consegue, anche, per l’effetto la infondatezza della domanda risarcitoria, qui riproposta (pp. 31-35 del ricorso), fondata sull’asserita illegittimità dell’esercizio del potere di autotutela nel caso di specie, illegittimità che, invece, deve escludersi per le ragioni sin qui esposte.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9. Con il sesto ed ultimo motivo (pp. 35-42 del ricorso) l’odierna appellante deduce l’erroneità della sentenza impugnata nella parte in cui ha anche respinto la domanda risarcitoria per la mancanza di adeguata prova in ordine ai danni lamentati, anche con riferimento al c.d. interesse negativo.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9.1. Assume l’appellante che la sentenza debba essere superata, sul punto, dalla produzione documentale, in questo grado del giudizio, con la precisazione che essa non sarebbe stata effettuata in primo grado sia per la ristrettezza dei termini dimezzati sia per la mancata contestazione da parte dell’Azienda.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9.2.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xml:space="preserve">. s.r.l. sostiene, in altri termini, di non aver potuto effettuare la produzione documentale nei termini processuali all’uopo previsti e produce, ai sensi dell’art. 104, comma 2, documenti intesi a dimostrare l’esistenza dei danni lamentati e il nesso causale di questo con la condotta </w:t>
      </w:r>
      <w:proofErr w:type="spellStart"/>
      <w:r w:rsidRPr="0078361C">
        <w:rPr>
          <w:rFonts w:ascii="Tahoma" w:eastAsia="Times New Roman" w:hAnsi="Tahoma" w:cs="Tahoma"/>
          <w:color w:val="3D3B39"/>
          <w:lang w:eastAsia="it-IT"/>
        </w:rPr>
        <w:t>asseritamente</w:t>
      </w:r>
      <w:proofErr w:type="spellEnd"/>
      <w:r w:rsidRPr="0078361C">
        <w:rPr>
          <w:rFonts w:ascii="Tahoma" w:eastAsia="Times New Roman" w:hAnsi="Tahoma" w:cs="Tahoma"/>
          <w:color w:val="3D3B39"/>
          <w:lang w:eastAsia="it-IT"/>
        </w:rPr>
        <w:t xml:space="preserve"> illegittima dell’Amministrazione.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9.3. Il motivo è destituito di fondamento.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9.4. A dimostrarne l’infondatezza basta il rilievo che il provvedimento dell’Amministrazione è del tutto legittimo, per le ragioni vedute, e che l’odierna appellante nessun affidamento incolpevole </w:t>
      </w:r>
      <w:r w:rsidRPr="0078361C">
        <w:rPr>
          <w:rFonts w:ascii="Tahoma" w:eastAsia="Times New Roman" w:hAnsi="Tahoma" w:cs="Tahoma"/>
          <w:color w:val="3D3B39"/>
          <w:lang w:eastAsia="it-IT"/>
        </w:rPr>
        <w:lastRenderedPageBreak/>
        <w:t>poteva fare sulla legittimità dell’affidamento, disposto, come essa ben sapeva, senza che essa fosse dotata di autorizzazione regionale e di accreditamento.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9.5. Difettano, pertanto, tutti i presupposti, sul piano </w:t>
      </w:r>
      <w:proofErr w:type="spellStart"/>
      <w:r w:rsidRPr="0078361C">
        <w:rPr>
          <w:rFonts w:ascii="Tahoma" w:eastAsia="Times New Roman" w:hAnsi="Tahoma" w:cs="Tahoma"/>
          <w:color w:val="3D3B39"/>
          <w:lang w:eastAsia="it-IT"/>
        </w:rPr>
        <w:t>dell’an</w:t>
      </w:r>
      <w:proofErr w:type="spellEnd"/>
      <w:r w:rsidRPr="0078361C">
        <w:rPr>
          <w:rFonts w:ascii="Tahoma" w:eastAsia="Times New Roman" w:hAnsi="Tahoma" w:cs="Tahoma"/>
          <w:color w:val="3D3B39"/>
          <w:lang w:eastAsia="it-IT"/>
        </w:rPr>
        <w:t xml:space="preserve"> </w:t>
      </w:r>
      <w:proofErr w:type="spellStart"/>
      <w:r w:rsidRPr="0078361C">
        <w:rPr>
          <w:rFonts w:ascii="Tahoma" w:eastAsia="Times New Roman" w:hAnsi="Tahoma" w:cs="Tahoma"/>
          <w:color w:val="3D3B39"/>
          <w:lang w:eastAsia="it-IT"/>
        </w:rPr>
        <w:t>debeatur</w:t>
      </w:r>
      <w:proofErr w:type="spellEnd"/>
      <w:r w:rsidRPr="0078361C">
        <w:rPr>
          <w:rFonts w:ascii="Tahoma" w:eastAsia="Times New Roman" w:hAnsi="Tahoma" w:cs="Tahoma"/>
          <w:color w:val="3D3B39"/>
          <w:lang w:eastAsia="it-IT"/>
        </w:rPr>
        <w:t>, per ritenere una qualsivoglia responsabilità, anche di tipo precontrattuale, nei confronti dell’Amministrazione.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9.6. A ciò si aggiunga che il T.A.R., peraltro, ha correttamente rilevato, anche quanto alla prova del danno, che questa non sia stata offerta dall’odierna appellante, che ha depositato in primo grado una consulenza tecnica di parte, contenente un elenco di voci di danno, alle quali tuttavia non è stato allegato alcun documento giustificativo, pur essendo tali documenti nella disponibilità di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s.r.l.</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9.7. Si tratta di rilievo processuale corretto, preciso, non contestato dalla stessa appellante che inutilmente si sforza di invocare l’art. 104, comma 2, </w:t>
      </w:r>
      <w:proofErr w:type="spellStart"/>
      <w:r w:rsidRPr="0078361C">
        <w:rPr>
          <w:rFonts w:ascii="Tahoma" w:eastAsia="Times New Roman" w:hAnsi="Tahoma" w:cs="Tahoma"/>
          <w:color w:val="3D3B39"/>
          <w:lang w:eastAsia="it-IT"/>
        </w:rPr>
        <w:t>c.p.a</w:t>
      </w:r>
      <w:proofErr w:type="spellEnd"/>
      <w:r w:rsidRPr="0078361C">
        <w:rPr>
          <w:rFonts w:ascii="Tahoma" w:eastAsia="Times New Roman" w:hAnsi="Tahoma" w:cs="Tahoma"/>
          <w:color w:val="3D3B39"/>
          <w:lang w:eastAsia="it-IT"/>
        </w:rPr>
        <w:t>., a fronte di tale vuoto probatorio non giustificabile né per la ristrettezza dei termini né per la condotta processuale dell’Azienda (che ha contestato in radice la domanda risarcitoria), per produrre inammissibilmente in questa sede documenti nuovi, che dovevano essere ritualmente prodotti in primo grado.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9.8. Del pari corretti, immuni da censura e, sostanzialmente, incontestati dalla stessa appellante sono i plurimi e puntuali rilievi del primo giudice (pp. 17-19 della sentenza impugnata) in ordine al difetto di qualsiasi nesso di causalità tra le numerose voci di danno e l’asserita condotta antigiuridica dell’Amministrazione, comunque – deve qui ribadirsi – insussistente.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9.9. Di qui, anche per tale aspetto, l’infondatezza della censura in esame, con conseguente reiezione della domanda risarcitoria da essa veicolata.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9.10. Ne segue anche la reiezione dell’istanza finalizzata a disporre una </w:t>
      </w:r>
      <w:proofErr w:type="spellStart"/>
      <w:r w:rsidRPr="0078361C">
        <w:rPr>
          <w:rFonts w:ascii="Tahoma" w:eastAsia="Times New Roman" w:hAnsi="Tahoma" w:cs="Tahoma"/>
          <w:color w:val="3D3B39"/>
          <w:lang w:eastAsia="it-IT"/>
        </w:rPr>
        <w:t>c.t.u</w:t>
      </w:r>
      <w:proofErr w:type="spellEnd"/>
      <w:r w:rsidRPr="0078361C">
        <w:rPr>
          <w:rFonts w:ascii="Tahoma" w:eastAsia="Times New Roman" w:hAnsi="Tahoma" w:cs="Tahoma"/>
          <w:color w:val="3D3B39"/>
          <w:lang w:eastAsia="it-IT"/>
        </w:rPr>
        <w:t>. per la liquidazione del danno, istanza infondata sia per l’assenza di una condotta antigiuridica dell’Amministrazione, necessario presupposto di qualsivoglia responsabilità, sia per la sua natura esplorativa.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10. In conclusione, per le ragioni esposte, l’appello, in tutti i suoi motivi, è privo di fondamento e va respinto, con conseguente conferma della sentenza impugnata.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11. La complessità di molte questioni giuridiche sopra esaminate giustifica l’integrale compensazione delle spese inerenti al presente grado di giudizio tra le parti.</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11.1. Rimane definitivamente a carico dell’odierna appellante il contributo unificato corrisposto per la proposizione del gravame.</w:t>
      </w:r>
    </w:p>
    <w:p w:rsidR="0078361C" w:rsidRPr="0078361C" w:rsidRDefault="0078361C" w:rsidP="0078361C">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b/>
          <w:bCs/>
          <w:color w:val="3D3B39"/>
          <w:lang w:eastAsia="it-IT"/>
        </w:rPr>
        <w:t>P.Q.M.</w:t>
      </w:r>
    </w:p>
    <w:p w:rsidR="0078361C" w:rsidRPr="0078361C" w:rsidRDefault="0078361C" w:rsidP="0078361C">
      <w:pPr>
        <w:spacing w:after="265" w:line="240" w:lineRule="auto"/>
        <w:rPr>
          <w:rFonts w:ascii="Tahoma" w:eastAsia="Times New Roman" w:hAnsi="Tahoma" w:cs="Tahoma"/>
          <w:color w:val="3D3B39"/>
          <w:lang w:eastAsia="it-IT"/>
        </w:rPr>
      </w:pPr>
      <w:r w:rsidRPr="0078361C">
        <w:rPr>
          <w:rFonts w:ascii="Tahoma" w:eastAsia="Times New Roman" w:hAnsi="Tahoma" w:cs="Tahoma"/>
          <w:color w:val="3D3B39"/>
          <w:lang w:eastAsia="it-IT"/>
        </w:rPr>
        <w:t xml:space="preserve">Il Consiglio di Stato in sede giurisdizionale (Sezione Terza), definitivamente pronunciando sull’appello, come in epigrafe proposto da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s.r.l., lo respinge e, per l’effetto, conferma la sentenza impugnata.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Compensa interamente tra le parti le spese del presente grado di giudizio.</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Pone definitivamente a carico di </w:t>
      </w:r>
      <w:proofErr w:type="spellStart"/>
      <w:r w:rsidRPr="0078361C">
        <w:rPr>
          <w:rFonts w:ascii="Tahoma" w:eastAsia="Times New Roman" w:hAnsi="Tahoma" w:cs="Tahoma"/>
          <w:color w:val="3D3B39"/>
          <w:lang w:eastAsia="it-IT"/>
        </w:rPr>
        <w:t>Ma.Vi.San</w:t>
      </w:r>
      <w:proofErr w:type="spellEnd"/>
      <w:r w:rsidRPr="0078361C">
        <w:rPr>
          <w:rFonts w:ascii="Tahoma" w:eastAsia="Times New Roman" w:hAnsi="Tahoma" w:cs="Tahoma"/>
          <w:color w:val="3D3B39"/>
          <w:lang w:eastAsia="it-IT"/>
        </w:rPr>
        <w:t>. s.r.l. il contributo unificato corrisposto per la proposizione del gravame.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Ordina che la presente sentenza sia eseguita dall’autorità amministrativa.</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lastRenderedPageBreak/>
        <w:t>Così deciso in Roma, nella camera di consiglio del giorno 2 marzo 2017, con l’intervento dei magistrati:</w:t>
      </w:r>
    </w:p>
    <w:p w:rsidR="0078361C" w:rsidRPr="0078361C" w:rsidRDefault="0078361C" w:rsidP="0078361C">
      <w:pPr>
        <w:spacing w:after="265" w:line="240" w:lineRule="auto"/>
        <w:rPr>
          <w:rFonts w:ascii="Tahoma" w:eastAsia="Times New Roman" w:hAnsi="Tahoma" w:cs="Tahoma"/>
          <w:color w:val="3D3B39"/>
          <w:lang w:eastAsia="it-IT"/>
        </w:rPr>
      </w:pPr>
      <w:r w:rsidRPr="0078361C">
        <w:rPr>
          <w:rFonts w:ascii="Tahoma" w:eastAsia="Times New Roman" w:hAnsi="Tahoma" w:cs="Tahoma"/>
          <w:color w:val="3D3B39"/>
          <w:lang w:eastAsia="it-IT"/>
        </w:rPr>
        <w:t>Marco Lipari, Presidente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Manfredo </w:t>
      </w:r>
      <w:proofErr w:type="spellStart"/>
      <w:r w:rsidRPr="0078361C">
        <w:rPr>
          <w:rFonts w:ascii="Tahoma" w:eastAsia="Times New Roman" w:hAnsi="Tahoma" w:cs="Tahoma"/>
          <w:color w:val="3D3B39"/>
          <w:lang w:eastAsia="it-IT"/>
        </w:rPr>
        <w:t>Atzeni</w:t>
      </w:r>
      <w:proofErr w:type="spellEnd"/>
      <w:r w:rsidRPr="0078361C">
        <w:rPr>
          <w:rFonts w:ascii="Tahoma" w:eastAsia="Times New Roman" w:hAnsi="Tahoma" w:cs="Tahoma"/>
          <w:color w:val="3D3B39"/>
          <w:lang w:eastAsia="it-IT"/>
        </w:rPr>
        <w:t>, Consigliere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Raffaele Greco, Consigliere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 xml:space="preserve">Massimiliano </w:t>
      </w:r>
      <w:proofErr w:type="spellStart"/>
      <w:r w:rsidRPr="0078361C">
        <w:rPr>
          <w:rFonts w:ascii="Tahoma" w:eastAsia="Times New Roman" w:hAnsi="Tahoma" w:cs="Tahoma"/>
          <w:color w:val="3D3B39"/>
          <w:lang w:eastAsia="it-IT"/>
        </w:rPr>
        <w:t>Noccelli</w:t>
      </w:r>
      <w:proofErr w:type="spellEnd"/>
      <w:r w:rsidRPr="0078361C">
        <w:rPr>
          <w:rFonts w:ascii="Tahoma" w:eastAsia="Times New Roman" w:hAnsi="Tahoma" w:cs="Tahoma"/>
          <w:color w:val="3D3B39"/>
          <w:lang w:eastAsia="it-IT"/>
        </w:rPr>
        <w:t>, Consigliere, Estensore</w:t>
      </w:r>
      <w:r w:rsidRPr="0078361C">
        <w:rPr>
          <w:rFonts w:ascii="Tahoma" w:eastAsia="Times New Roman" w:hAnsi="Tahoma" w:cs="Tahoma"/>
          <w:color w:val="3D3B39"/>
          <w:lang w:eastAsia="it-IT"/>
        </w:rPr>
        <w:br/>
      </w:r>
      <w:r w:rsidRPr="0078361C">
        <w:rPr>
          <w:rFonts w:ascii="Tahoma" w:eastAsia="Times New Roman" w:hAnsi="Tahoma" w:cs="Tahoma"/>
          <w:color w:val="3D3B39"/>
          <w:lang w:eastAsia="it-IT"/>
        </w:rPr>
        <w:br/>
        <w:t>Pierfrancesco Ungari, Consigliere</w:t>
      </w:r>
    </w:p>
    <w:p w:rsidR="00694329" w:rsidRPr="00694329" w:rsidRDefault="00694329" w:rsidP="00694329">
      <w:pPr>
        <w:spacing w:after="265" w:line="240" w:lineRule="auto"/>
        <w:jc w:val="right"/>
        <w:rPr>
          <w:rFonts w:ascii="Tahoma" w:eastAsia="Times New Roman" w:hAnsi="Tahoma" w:cs="Tahoma"/>
          <w:color w:val="3D3B39"/>
          <w:lang w:eastAsia="it-IT"/>
        </w:rPr>
      </w:pPr>
      <w:r w:rsidRPr="00694329">
        <w:rPr>
          <w:rFonts w:ascii="PT Serif" w:eastAsia="Times New Roman" w:hAnsi="PT Serif" w:cs="Arial"/>
          <w:color w:val="3D3B39"/>
          <w:sz w:val="21"/>
          <w:szCs w:val="21"/>
          <w:lang w:eastAsia="it-IT"/>
        </w:rPr>
        <w:br/>
      </w:r>
      <w:r w:rsidRPr="00247A22">
        <w:rPr>
          <w:rFonts w:ascii="Tahoma" w:eastAsia="Times New Roman" w:hAnsi="Tahoma" w:cs="Tahoma"/>
          <w:b/>
          <w:bCs/>
          <w:color w:val="3D3B39"/>
          <w:lang w:eastAsia="it-IT"/>
        </w:rPr>
        <w:t>N. 01059/2017 REG.PROV.CAU.</w:t>
      </w:r>
      <w:r w:rsidRPr="00694329">
        <w:rPr>
          <w:rFonts w:ascii="Tahoma" w:eastAsia="Times New Roman" w:hAnsi="Tahoma" w:cs="Tahoma"/>
          <w:color w:val="3D3B39"/>
          <w:lang w:eastAsia="it-IT"/>
        </w:rPr>
        <w:t xml:space="preserve"> </w:t>
      </w:r>
      <w:r w:rsidRPr="00694329">
        <w:rPr>
          <w:rFonts w:ascii="Tahoma" w:eastAsia="Times New Roman" w:hAnsi="Tahoma" w:cs="Tahoma"/>
          <w:color w:val="3D3B39"/>
          <w:lang w:eastAsia="it-IT"/>
        </w:rPr>
        <w:br/>
      </w:r>
      <w:r w:rsidRPr="00247A22">
        <w:rPr>
          <w:rFonts w:ascii="Tahoma" w:eastAsia="Times New Roman" w:hAnsi="Tahoma" w:cs="Tahoma"/>
          <w:b/>
          <w:bCs/>
          <w:color w:val="3D3B39"/>
          <w:lang w:eastAsia="it-IT"/>
        </w:rPr>
        <w:t>N. 00826/2017 REG.RIC.</w:t>
      </w:r>
    </w:p>
    <w:p w:rsidR="00694329" w:rsidRPr="00694329" w:rsidRDefault="00694329" w:rsidP="00694329">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b/>
          <w:bCs/>
          <w:color w:val="3D3B39"/>
          <w:lang w:eastAsia="it-IT"/>
        </w:rPr>
        <w:t>REPUBBLICA ITALIANA</w:t>
      </w:r>
      <w:r w:rsidRPr="00694329">
        <w:rPr>
          <w:rFonts w:ascii="Tahoma" w:eastAsia="Times New Roman" w:hAnsi="Tahoma" w:cs="Tahoma"/>
          <w:color w:val="3D3B39"/>
          <w:lang w:eastAsia="it-IT"/>
        </w:rPr>
        <w:t xml:space="preserve"> </w:t>
      </w:r>
      <w:r w:rsidRPr="00694329">
        <w:rPr>
          <w:rFonts w:ascii="Tahoma" w:eastAsia="Times New Roman" w:hAnsi="Tahoma" w:cs="Tahoma"/>
          <w:color w:val="3D3B39"/>
          <w:lang w:eastAsia="it-IT"/>
        </w:rPr>
        <w:br/>
      </w:r>
      <w:r w:rsidRPr="00247A22">
        <w:rPr>
          <w:rFonts w:ascii="Tahoma" w:eastAsia="Times New Roman" w:hAnsi="Tahoma" w:cs="Tahoma"/>
          <w:b/>
          <w:bCs/>
          <w:color w:val="3D3B39"/>
          <w:lang w:eastAsia="it-IT"/>
        </w:rPr>
        <w:t>Il Consiglio di Stato</w:t>
      </w:r>
      <w:r w:rsidRPr="00694329">
        <w:rPr>
          <w:rFonts w:ascii="Tahoma" w:eastAsia="Times New Roman" w:hAnsi="Tahoma" w:cs="Tahoma"/>
          <w:color w:val="3D3B39"/>
          <w:lang w:eastAsia="it-IT"/>
        </w:rPr>
        <w:t xml:space="preserve"> </w:t>
      </w:r>
      <w:r w:rsidRPr="00694329">
        <w:rPr>
          <w:rFonts w:ascii="Tahoma" w:eastAsia="Times New Roman" w:hAnsi="Tahoma" w:cs="Tahoma"/>
          <w:color w:val="3D3B39"/>
          <w:lang w:eastAsia="it-IT"/>
        </w:rPr>
        <w:br/>
      </w:r>
      <w:r w:rsidRPr="00247A22">
        <w:rPr>
          <w:rFonts w:ascii="Tahoma" w:eastAsia="Times New Roman" w:hAnsi="Tahoma" w:cs="Tahoma"/>
          <w:b/>
          <w:bCs/>
          <w:color w:val="3D3B39"/>
          <w:lang w:eastAsia="it-IT"/>
        </w:rPr>
        <w:t>in sede giurisdizionale (Sezione Quinta</w:t>
      </w:r>
    </w:p>
    <w:p w:rsidR="00694329" w:rsidRPr="00694329" w:rsidRDefault="00694329" w:rsidP="00694329">
      <w:pPr>
        <w:spacing w:after="265" w:line="240" w:lineRule="auto"/>
        <w:jc w:val="center"/>
        <w:rPr>
          <w:rFonts w:ascii="Tahoma" w:eastAsia="Times New Roman" w:hAnsi="Tahoma" w:cs="Tahoma"/>
          <w:color w:val="3D3B39"/>
          <w:lang w:eastAsia="it-IT"/>
        </w:rPr>
      </w:pPr>
      <w:r w:rsidRPr="00694329">
        <w:rPr>
          <w:rFonts w:ascii="Tahoma" w:eastAsia="Times New Roman" w:hAnsi="Tahoma" w:cs="Tahoma"/>
          <w:color w:val="3D3B39"/>
          <w:lang w:eastAsia="it-IT"/>
        </w:rPr>
        <w:t xml:space="preserve">ha pronunciato la presente </w:t>
      </w:r>
    </w:p>
    <w:p w:rsidR="00694329" w:rsidRPr="00694329" w:rsidRDefault="00694329" w:rsidP="00694329">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b/>
          <w:bCs/>
          <w:color w:val="3D3B39"/>
          <w:lang w:eastAsia="it-IT"/>
        </w:rPr>
        <w:t>ORDINANZA</w:t>
      </w:r>
    </w:p>
    <w:p w:rsidR="00694329" w:rsidRPr="00694329" w:rsidRDefault="00694329" w:rsidP="00694329">
      <w:pPr>
        <w:spacing w:after="265" w:line="240" w:lineRule="auto"/>
        <w:rPr>
          <w:rFonts w:ascii="Tahoma" w:eastAsia="Times New Roman" w:hAnsi="Tahoma" w:cs="Tahoma"/>
          <w:color w:val="3D3B39"/>
          <w:lang w:eastAsia="it-IT"/>
        </w:rPr>
      </w:pPr>
      <w:r w:rsidRPr="00694329">
        <w:rPr>
          <w:rFonts w:ascii="Tahoma" w:eastAsia="Times New Roman" w:hAnsi="Tahoma" w:cs="Tahoma"/>
          <w:color w:val="3D3B39"/>
          <w:lang w:eastAsia="it-IT"/>
        </w:rPr>
        <w:t xml:space="preserve">sul ricorso numero di registro generale 826 del 2017, proposto da: </w:t>
      </w:r>
    </w:p>
    <w:p w:rsidR="00694329" w:rsidRPr="00694329" w:rsidRDefault="00694329" w:rsidP="00694329">
      <w:pPr>
        <w:spacing w:after="265" w:line="240" w:lineRule="auto"/>
        <w:rPr>
          <w:rFonts w:ascii="Tahoma" w:eastAsia="Times New Roman" w:hAnsi="Tahoma" w:cs="Tahoma"/>
          <w:color w:val="3D3B39"/>
          <w:lang w:eastAsia="it-IT"/>
        </w:rPr>
      </w:pPr>
      <w:r w:rsidRPr="00694329">
        <w:rPr>
          <w:rFonts w:ascii="Tahoma" w:eastAsia="Times New Roman" w:hAnsi="Tahoma" w:cs="Tahoma"/>
          <w:color w:val="3D3B39"/>
          <w:lang w:eastAsia="it-IT"/>
        </w:rPr>
        <w:t xml:space="preserve">Antonio </w:t>
      </w:r>
      <w:proofErr w:type="spellStart"/>
      <w:r w:rsidRPr="00694329">
        <w:rPr>
          <w:rFonts w:ascii="Tahoma" w:eastAsia="Times New Roman" w:hAnsi="Tahoma" w:cs="Tahoma"/>
          <w:color w:val="3D3B39"/>
          <w:lang w:eastAsia="it-IT"/>
        </w:rPr>
        <w:t>Illuzzi</w:t>
      </w:r>
      <w:proofErr w:type="spellEnd"/>
      <w:r w:rsidRPr="00694329">
        <w:rPr>
          <w:rFonts w:ascii="Tahoma" w:eastAsia="Times New Roman" w:hAnsi="Tahoma" w:cs="Tahoma"/>
          <w:color w:val="3D3B39"/>
          <w:lang w:eastAsia="it-IT"/>
        </w:rPr>
        <w:t xml:space="preserve">, rappresentato e difeso dall'avvocato Giacomo Valla, domiciliato ex art. 25 </w:t>
      </w:r>
      <w:proofErr w:type="spellStart"/>
      <w:r w:rsidRPr="00694329">
        <w:rPr>
          <w:rFonts w:ascii="Tahoma" w:eastAsia="Times New Roman" w:hAnsi="Tahoma" w:cs="Tahoma"/>
          <w:color w:val="3D3B39"/>
          <w:lang w:eastAsia="it-IT"/>
        </w:rPr>
        <w:t>c.p.a</w:t>
      </w:r>
      <w:proofErr w:type="spellEnd"/>
      <w:r w:rsidRPr="00694329">
        <w:rPr>
          <w:rFonts w:ascii="Tahoma" w:eastAsia="Times New Roman" w:hAnsi="Tahoma" w:cs="Tahoma"/>
          <w:color w:val="3D3B39"/>
          <w:lang w:eastAsia="it-IT"/>
        </w:rPr>
        <w:t xml:space="preserve">. presso la Segreteria sezionale del Consiglio di Stato, in Roma, piazza Capo di Ferro, 13; </w:t>
      </w:r>
    </w:p>
    <w:p w:rsidR="00694329" w:rsidRPr="00694329" w:rsidRDefault="00694329" w:rsidP="00694329">
      <w:pPr>
        <w:spacing w:after="265" w:line="240" w:lineRule="auto"/>
        <w:rPr>
          <w:rFonts w:ascii="Tahoma" w:eastAsia="Times New Roman" w:hAnsi="Tahoma" w:cs="Tahoma"/>
          <w:color w:val="3D3B39"/>
          <w:lang w:eastAsia="it-IT"/>
        </w:rPr>
      </w:pPr>
      <w:r w:rsidRPr="00247A22">
        <w:rPr>
          <w:rFonts w:ascii="Tahoma" w:eastAsia="Times New Roman" w:hAnsi="Tahoma" w:cs="Tahoma"/>
          <w:b/>
          <w:bCs/>
          <w:i/>
          <w:iCs/>
          <w:color w:val="3D3B39"/>
          <w:lang w:eastAsia="it-IT"/>
        </w:rPr>
        <w:t>contro</w:t>
      </w:r>
      <w:r w:rsidRPr="00694329">
        <w:rPr>
          <w:rFonts w:ascii="Tahoma" w:eastAsia="Times New Roman" w:hAnsi="Tahoma" w:cs="Tahoma"/>
          <w:color w:val="3D3B39"/>
          <w:lang w:eastAsia="it-IT"/>
        </w:rPr>
        <w:t xml:space="preserve"> </w:t>
      </w:r>
      <w:r w:rsidRPr="00694329">
        <w:rPr>
          <w:rFonts w:ascii="Tahoma" w:eastAsia="Times New Roman" w:hAnsi="Tahoma" w:cs="Tahoma"/>
          <w:color w:val="3D3B39"/>
          <w:lang w:eastAsia="it-IT"/>
        </w:rPr>
        <w:br/>
        <w:t xml:space="preserve">Comune di Foggia, in persona del legale rappresentante </w:t>
      </w:r>
      <w:proofErr w:type="spellStart"/>
      <w:r w:rsidRPr="00694329">
        <w:rPr>
          <w:rFonts w:ascii="Tahoma" w:eastAsia="Times New Roman" w:hAnsi="Tahoma" w:cs="Tahoma"/>
          <w:color w:val="3D3B39"/>
          <w:lang w:eastAsia="it-IT"/>
        </w:rPr>
        <w:t>p.t.</w:t>
      </w:r>
      <w:proofErr w:type="spellEnd"/>
      <w:r w:rsidRPr="00694329">
        <w:rPr>
          <w:rFonts w:ascii="Tahoma" w:eastAsia="Times New Roman" w:hAnsi="Tahoma" w:cs="Tahoma"/>
          <w:color w:val="3D3B39"/>
          <w:lang w:eastAsia="it-IT"/>
        </w:rPr>
        <w:t xml:space="preserve">, rappresentato e difeso dall'avvocato Domenico Dragonetti, con domicilio eletto presso lo studio Vania Romano in Roma, viale G. Mazzini, 6;  </w:t>
      </w:r>
      <w:r w:rsidRPr="00694329">
        <w:rPr>
          <w:rFonts w:ascii="Tahoma" w:eastAsia="Times New Roman" w:hAnsi="Tahoma" w:cs="Tahoma"/>
          <w:color w:val="3D3B39"/>
          <w:lang w:eastAsia="it-IT"/>
        </w:rPr>
        <w:br/>
      </w:r>
      <w:r w:rsidRPr="00247A22">
        <w:rPr>
          <w:rFonts w:ascii="Tahoma" w:eastAsia="Times New Roman" w:hAnsi="Tahoma" w:cs="Tahoma"/>
          <w:b/>
          <w:bCs/>
          <w:i/>
          <w:iCs/>
          <w:color w:val="3D3B39"/>
          <w:lang w:eastAsia="it-IT"/>
        </w:rPr>
        <w:t>nei confronti di</w:t>
      </w:r>
      <w:r w:rsidRPr="00694329">
        <w:rPr>
          <w:rFonts w:ascii="Tahoma" w:eastAsia="Times New Roman" w:hAnsi="Tahoma" w:cs="Tahoma"/>
          <w:color w:val="3D3B39"/>
          <w:lang w:eastAsia="it-IT"/>
        </w:rPr>
        <w:t xml:space="preserve"> </w:t>
      </w:r>
      <w:r w:rsidRPr="00694329">
        <w:rPr>
          <w:rFonts w:ascii="Tahoma" w:eastAsia="Times New Roman" w:hAnsi="Tahoma" w:cs="Tahoma"/>
          <w:color w:val="3D3B39"/>
          <w:lang w:eastAsia="it-IT"/>
        </w:rPr>
        <w:br/>
        <w:t xml:space="preserve">La Nuova Costruzione s.r.l., in persona del legale rappresentante </w:t>
      </w:r>
      <w:proofErr w:type="spellStart"/>
      <w:r w:rsidRPr="00694329">
        <w:rPr>
          <w:rFonts w:ascii="Tahoma" w:eastAsia="Times New Roman" w:hAnsi="Tahoma" w:cs="Tahoma"/>
          <w:color w:val="3D3B39"/>
          <w:lang w:eastAsia="it-IT"/>
        </w:rPr>
        <w:t>p.t.</w:t>
      </w:r>
      <w:proofErr w:type="spellEnd"/>
      <w:r w:rsidRPr="00694329">
        <w:rPr>
          <w:rFonts w:ascii="Tahoma" w:eastAsia="Times New Roman" w:hAnsi="Tahoma" w:cs="Tahoma"/>
          <w:color w:val="3D3B39"/>
          <w:lang w:eastAsia="it-IT"/>
        </w:rPr>
        <w:t xml:space="preserve">, rappresentata e difesa dall'avvocato Vito Aurelio </w:t>
      </w:r>
      <w:proofErr w:type="spellStart"/>
      <w:r w:rsidRPr="00694329">
        <w:rPr>
          <w:rFonts w:ascii="Tahoma" w:eastAsia="Times New Roman" w:hAnsi="Tahoma" w:cs="Tahoma"/>
          <w:color w:val="3D3B39"/>
          <w:lang w:eastAsia="it-IT"/>
        </w:rPr>
        <w:t>Pappalepore</w:t>
      </w:r>
      <w:proofErr w:type="spellEnd"/>
      <w:r w:rsidRPr="00694329">
        <w:rPr>
          <w:rFonts w:ascii="Tahoma" w:eastAsia="Times New Roman" w:hAnsi="Tahoma" w:cs="Tahoma"/>
          <w:color w:val="3D3B39"/>
          <w:lang w:eastAsia="it-IT"/>
        </w:rPr>
        <w:t xml:space="preserve">, domiciliata ex art. 25 </w:t>
      </w:r>
      <w:proofErr w:type="spellStart"/>
      <w:r w:rsidRPr="00694329">
        <w:rPr>
          <w:rFonts w:ascii="Tahoma" w:eastAsia="Times New Roman" w:hAnsi="Tahoma" w:cs="Tahoma"/>
          <w:color w:val="3D3B39"/>
          <w:lang w:eastAsia="it-IT"/>
        </w:rPr>
        <w:t>c.p.a.la</w:t>
      </w:r>
      <w:proofErr w:type="spellEnd"/>
      <w:r w:rsidRPr="00694329">
        <w:rPr>
          <w:rFonts w:ascii="Tahoma" w:eastAsia="Times New Roman" w:hAnsi="Tahoma" w:cs="Tahoma"/>
          <w:color w:val="3D3B39"/>
          <w:lang w:eastAsia="it-IT"/>
        </w:rPr>
        <w:t xml:space="preserve"> Segreteria sezionale del Consiglio di Stato, in Roma, piazza Capo di Ferro, 13;  </w:t>
      </w:r>
      <w:r w:rsidRPr="00694329">
        <w:rPr>
          <w:rFonts w:ascii="Tahoma" w:eastAsia="Times New Roman" w:hAnsi="Tahoma" w:cs="Tahoma"/>
          <w:color w:val="3D3B39"/>
          <w:lang w:eastAsia="it-IT"/>
        </w:rPr>
        <w:br/>
      </w:r>
      <w:r w:rsidRPr="00247A22">
        <w:rPr>
          <w:rFonts w:ascii="Tahoma" w:eastAsia="Times New Roman" w:hAnsi="Tahoma" w:cs="Tahoma"/>
          <w:b/>
          <w:bCs/>
          <w:i/>
          <w:iCs/>
          <w:color w:val="3D3B39"/>
          <w:lang w:eastAsia="it-IT"/>
        </w:rPr>
        <w:t>per la riforma</w:t>
      </w:r>
      <w:r w:rsidRPr="00694329">
        <w:rPr>
          <w:rFonts w:ascii="Tahoma" w:eastAsia="Times New Roman" w:hAnsi="Tahoma" w:cs="Tahoma"/>
          <w:color w:val="3D3B39"/>
          <w:lang w:eastAsia="it-IT"/>
        </w:rPr>
        <w:t xml:space="preserve"> </w:t>
      </w:r>
      <w:r w:rsidRPr="00694329">
        <w:rPr>
          <w:rFonts w:ascii="Tahoma" w:eastAsia="Times New Roman" w:hAnsi="Tahoma" w:cs="Tahoma"/>
          <w:color w:val="3D3B39"/>
          <w:lang w:eastAsia="it-IT"/>
        </w:rPr>
        <w:br/>
        <w:t xml:space="preserve">dell'ordinanza cautelare del T.A.R. PUGLIA – BARI, SEZIONE I n. 00070/2017, resa tra le parti; </w:t>
      </w:r>
    </w:p>
    <w:p w:rsidR="00694329" w:rsidRPr="00694329" w:rsidRDefault="00694329" w:rsidP="00694329">
      <w:pPr>
        <w:spacing w:after="265" w:line="240" w:lineRule="auto"/>
        <w:rPr>
          <w:rFonts w:ascii="Tahoma" w:eastAsia="Times New Roman" w:hAnsi="Tahoma" w:cs="Tahoma"/>
          <w:color w:val="3D3B39"/>
          <w:lang w:eastAsia="it-IT"/>
        </w:rPr>
      </w:pPr>
      <w:r w:rsidRPr="00694329">
        <w:rPr>
          <w:rFonts w:ascii="Tahoma" w:eastAsia="Times New Roman" w:hAnsi="Tahoma" w:cs="Tahoma"/>
          <w:color w:val="3D3B39"/>
          <w:lang w:eastAsia="it-IT"/>
        </w:rPr>
        <w:t xml:space="preserve">Visto l'art. 62 cod. </w:t>
      </w:r>
      <w:proofErr w:type="spellStart"/>
      <w:r w:rsidRPr="00694329">
        <w:rPr>
          <w:rFonts w:ascii="Tahoma" w:eastAsia="Times New Roman" w:hAnsi="Tahoma" w:cs="Tahoma"/>
          <w:color w:val="3D3B39"/>
          <w:lang w:eastAsia="it-IT"/>
        </w:rPr>
        <w:t>proc</w:t>
      </w:r>
      <w:proofErr w:type="spellEnd"/>
      <w:r w:rsidRPr="00694329">
        <w:rPr>
          <w:rFonts w:ascii="Tahoma" w:eastAsia="Times New Roman" w:hAnsi="Tahoma" w:cs="Tahoma"/>
          <w:color w:val="3D3B39"/>
          <w:lang w:eastAsia="it-IT"/>
        </w:rPr>
        <w:t xml:space="preserve">. </w:t>
      </w:r>
      <w:proofErr w:type="spellStart"/>
      <w:r w:rsidRPr="00694329">
        <w:rPr>
          <w:rFonts w:ascii="Tahoma" w:eastAsia="Times New Roman" w:hAnsi="Tahoma" w:cs="Tahoma"/>
          <w:color w:val="3D3B39"/>
          <w:lang w:eastAsia="it-IT"/>
        </w:rPr>
        <w:t>amm</w:t>
      </w:r>
      <w:proofErr w:type="spellEnd"/>
      <w:r w:rsidRPr="00694329">
        <w:rPr>
          <w:rFonts w:ascii="Tahoma" w:eastAsia="Times New Roman" w:hAnsi="Tahoma" w:cs="Tahoma"/>
          <w:color w:val="3D3B39"/>
          <w:lang w:eastAsia="it-IT"/>
        </w:rPr>
        <w:t xml:space="preserve">; </w:t>
      </w:r>
      <w:r w:rsidRPr="00694329">
        <w:rPr>
          <w:rFonts w:ascii="Tahoma" w:eastAsia="Times New Roman" w:hAnsi="Tahoma" w:cs="Tahoma"/>
          <w:color w:val="3D3B39"/>
          <w:lang w:eastAsia="it-IT"/>
        </w:rPr>
        <w:br/>
        <w:t xml:space="preserve">Visti il ricorso in appello e i relativi allegati; </w:t>
      </w:r>
      <w:r w:rsidRPr="00694329">
        <w:rPr>
          <w:rFonts w:ascii="Tahoma" w:eastAsia="Times New Roman" w:hAnsi="Tahoma" w:cs="Tahoma"/>
          <w:color w:val="3D3B39"/>
          <w:lang w:eastAsia="it-IT"/>
        </w:rPr>
        <w:br/>
        <w:t xml:space="preserve">Visti tutti gli atti della causa; </w:t>
      </w:r>
      <w:r w:rsidRPr="00694329">
        <w:rPr>
          <w:rFonts w:ascii="Tahoma" w:eastAsia="Times New Roman" w:hAnsi="Tahoma" w:cs="Tahoma"/>
          <w:color w:val="3D3B39"/>
          <w:lang w:eastAsia="it-IT"/>
        </w:rPr>
        <w:br/>
        <w:t xml:space="preserve">Visti gli atti di costituzione in giudizio del Comune di Foggia e de La Nuova Costruzione s.r.l.; </w:t>
      </w:r>
      <w:r w:rsidRPr="00694329">
        <w:rPr>
          <w:rFonts w:ascii="Tahoma" w:eastAsia="Times New Roman" w:hAnsi="Tahoma" w:cs="Tahoma"/>
          <w:color w:val="3D3B39"/>
          <w:lang w:eastAsia="it-IT"/>
        </w:rPr>
        <w:br/>
        <w:t xml:space="preserve">Vista la impugnata ordinanza cautelare del Tribunale amministrativo regionale di reiezione della domanda cautelare presentata dalla parte ricorrente in primo grado; </w:t>
      </w:r>
      <w:r w:rsidRPr="00694329">
        <w:rPr>
          <w:rFonts w:ascii="Tahoma" w:eastAsia="Times New Roman" w:hAnsi="Tahoma" w:cs="Tahoma"/>
          <w:color w:val="3D3B39"/>
          <w:lang w:eastAsia="it-IT"/>
        </w:rPr>
        <w:br/>
        <w:t xml:space="preserve">Viste le memorie difensive; </w:t>
      </w:r>
      <w:r w:rsidRPr="00694329">
        <w:rPr>
          <w:rFonts w:ascii="Tahoma" w:eastAsia="Times New Roman" w:hAnsi="Tahoma" w:cs="Tahoma"/>
          <w:color w:val="3D3B39"/>
          <w:lang w:eastAsia="it-IT"/>
        </w:rPr>
        <w:br/>
        <w:t xml:space="preserve">Relatore nella camera di consiglio del giorno 9 marzo 2017 il </w:t>
      </w:r>
      <w:proofErr w:type="spellStart"/>
      <w:r w:rsidRPr="00694329">
        <w:rPr>
          <w:rFonts w:ascii="Tahoma" w:eastAsia="Times New Roman" w:hAnsi="Tahoma" w:cs="Tahoma"/>
          <w:color w:val="3D3B39"/>
          <w:lang w:eastAsia="it-IT"/>
        </w:rPr>
        <w:t>Cons</w:t>
      </w:r>
      <w:proofErr w:type="spellEnd"/>
      <w:r w:rsidRPr="00694329">
        <w:rPr>
          <w:rFonts w:ascii="Tahoma" w:eastAsia="Times New Roman" w:hAnsi="Tahoma" w:cs="Tahoma"/>
          <w:color w:val="3D3B39"/>
          <w:lang w:eastAsia="it-IT"/>
        </w:rPr>
        <w:t xml:space="preserve">. Paolo Troiano e uditi per le parti gli avvocati Valla, Dragonetti e </w:t>
      </w:r>
      <w:proofErr w:type="spellStart"/>
      <w:r w:rsidRPr="00694329">
        <w:rPr>
          <w:rFonts w:ascii="Tahoma" w:eastAsia="Times New Roman" w:hAnsi="Tahoma" w:cs="Tahoma"/>
          <w:color w:val="3D3B39"/>
          <w:lang w:eastAsia="it-IT"/>
        </w:rPr>
        <w:t>Pappalepore</w:t>
      </w:r>
      <w:proofErr w:type="spellEnd"/>
      <w:r w:rsidRPr="00694329">
        <w:rPr>
          <w:rFonts w:ascii="Tahoma" w:eastAsia="Times New Roman" w:hAnsi="Tahoma" w:cs="Tahoma"/>
          <w:color w:val="3D3B39"/>
          <w:lang w:eastAsia="it-IT"/>
        </w:rPr>
        <w:t xml:space="preserve">; </w:t>
      </w:r>
    </w:p>
    <w:p w:rsidR="00694329" w:rsidRPr="00694329" w:rsidRDefault="00694329" w:rsidP="00694329">
      <w:pPr>
        <w:spacing w:after="265" w:line="240" w:lineRule="auto"/>
        <w:rPr>
          <w:rFonts w:ascii="Tahoma" w:eastAsia="Times New Roman" w:hAnsi="Tahoma" w:cs="Tahoma"/>
          <w:color w:val="3D3B39"/>
          <w:lang w:eastAsia="it-IT"/>
        </w:rPr>
      </w:pPr>
      <w:r w:rsidRPr="00694329">
        <w:rPr>
          <w:rFonts w:ascii="Tahoma" w:eastAsia="Times New Roman" w:hAnsi="Tahoma" w:cs="Tahoma"/>
          <w:color w:val="3D3B39"/>
          <w:lang w:eastAsia="it-IT"/>
        </w:rPr>
        <w:t xml:space="preserve">Premesso che con ricorso proposto davanti al Tribunale amministrativo regionale per la Puglia, sede di Bari, l’odierno appellante aveva impugnato, con unico ricorso sia “la determinazione </w:t>
      </w:r>
      <w:r w:rsidRPr="00694329">
        <w:rPr>
          <w:rFonts w:ascii="Tahoma" w:eastAsia="Times New Roman" w:hAnsi="Tahoma" w:cs="Tahoma"/>
          <w:color w:val="3D3B39"/>
          <w:lang w:eastAsia="it-IT"/>
        </w:rPr>
        <w:lastRenderedPageBreak/>
        <w:t xml:space="preserve">dirigenziale del 27 dicembre 2016, n. 1351”, recante aggiudicazione definitiva dell’appalto per l’affidamento di lavori di messa in sicurezza di un edificio scolastico in favore dell’impresa La Nuova Costruzione s.r.l., sia “ogni altro atto presupposto, connesso e consequenziale, compresi i verbali e le determinazioni della commissione, con specifico riguardo alla determinazione di ammissione alla gara de La Nuova Costruzione s.r.l. e alle valutazioni del relativo progetto tecnico; nonché della nota a firma del responsabile del procedimento </w:t>
      </w:r>
      <w:proofErr w:type="spellStart"/>
      <w:r w:rsidRPr="00694329">
        <w:rPr>
          <w:rFonts w:ascii="Tahoma" w:eastAsia="Times New Roman" w:hAnsi="Tahoma" w:cs="Tahoma"/>
          <w:color w:val="3D3B39"/>
          <w:lang w:eastAsia="it-IT"/>
        </w:rPr>
        <w:t>prot</w:t>
      </w:r>
      <w:proofErr w:type="spellEnd"/>
      <w:r w:rsidRPr="00694329">
        <w:rPr>
          <w:rFonts w:ascii="Tahoma" w:eastAsia="Times New Roman" w:hAnsi="Tahoma" w:cs="Tahoma"/>
          <w:color w:val="3D3B39"/>
          <w:lang w:eastAsia="it-IT"/>
        </w:rPr>
        <w:t xml:space="preserve">. n. 6204 del 20.1.2017”, e, per quanto rileva nella presente sede cautelare, aveva chiesto la “previa sospensiva” di tutti gli indicati atti, </w:t>
      </w:r>
      <w:r w:rsidRPr="00694329">
        <w:rPr>
          <w:rFonts w:ascii="Tahoma" w:eastAsia="Times New Roman" w:hAnsi="Tahoma" w:cs="Tahoma"/>
          <w:color w:val="3D3B39"/>
          <w:lang w:eastAsia="it-IT"/>
        </w:rPr>
        <w:br/>
        <w:t>Premesso, altresì, che il Tribunale adito decideva sulle istanze cautelari proposte con l’ordinanza oggetto di appello ritenendo che “la questione prospettata da parte ricorrente merita l'approfondimento della fase di merito in relazione alla natura delle censure dedotte, che comunque non configurano i necessari presupposti per la sospensione dell'atto impugnato sotto il profilo del </w:t>
      </w:r>
      <w:proofErr w:type="spellStart"/>
      <w:r w:rsidRPr="00247A22">
        <w:rPr>
          <w:rFonts w:ascii="Tahoma" w:eastAsia="Times New Roman" w:hAnsi="Tahoma" w:cs="Tahoma"/>
          <w:i/>
          <w:iCs/>
          <w:color w:val="3D3B39"/>
          <w:lang w:eastAsia="it-IT"/>
        </w:rPr>
        <w:t>periculum</w:t>
      </w:r>
      <w:proofErr w:type="spellEnd"/>
      <w:r w:rsidRPr="00694329">
        <w:rPr>
          <w:rFonts w:ascii="Tahoma" w:eastAsia="Times New Roman" w:hAnsi="Tahoma" w:cs="Tahoma"/>
          <w:color w:val="3D3B39"/>
          <w:lang w:eastAsia="it-IT"/>
        </w:rPr>
        <w:t xml:space="preserve">” e fissava l’udienza di merito alla data del 7 giugno 2017, senza che venisse affrontata, nella sede cautelare di primo grado, né su eccezione di parte né d’ufficio, la questione di rito in ordine alla proponibilità con unico ricorso di domande avverso l’ammissione e l’aggiudicazione definitiva, in relazione alla disciplina cui all’articolo 120 del codice del processo amministrativo, come modificato e integrato dal d.lgs. 18 aprile 2016, n. 50; </w:t>
      </w:r>
      <w:r w:rsidRPr="00694329">
        <w:rPr>
          <w:rFonts w:ascii="Tahoma" w:eastAsia="Times New Roman" w:hAnsi="Tahoma" w:cs="Tahoma"/>
          <w:color w:val="3D3B39"/>
          <w:lang w:eastAsia="it-IT"/>
        </w:rPr>
        <w:br/>
        <w:t xml:space="preserve">Premesso, infine, che il ricorrente in primo grado impugnava la citata ordinanza cautelare riproponendo dinanzi al Consiglio di Stato tutte le domande cautelari rigettate nel primo grado in relazione sia all’atto di ammissione sia al provvedimento di aggiudicazione definitiva, dei quali chiedeva la sospensiva; </w:t>
      </w:r>
      <w:r w:rsidRPr="00694329">
        <w:rPr>
          <w:rFonts w:ascii="Tahoma" w:eastAsia="Times New Roman" w:hAnsi="Tahoma" w:cs="Tahoma"/>
          <w:color w:val="3D3B39"/>
          <w:lang w:eastAsia="it-IT"/>
        </w:rPr>
        <w:br/>
        <w:t>Considerato, in primo luogo, che, come già ritenuto da questa Sezione con ordinanza del 6 marzo 2017, n. 948, è ammissibile la proposizione e trattazione di istanze cautelari avverso gli atti di esclusione da procedure di affidamento o avverso gli atti di ammissione alla stessa, non essendo l’applicazione delle norme in materia di tutela cautelare incompatibile con la disciplina dettata dall’art. 120, commi 2-</w:t>
      </w:r>
      <w:r w:rsidRPr="00247A22">
        <w:rPr>
          <w:rFonts w:ascii="Tahoma" w:eastAsia="Times New Roman" w:hAnsi="Tahoma" w:cs="Tahoma"/>
          <w:i/>
          <w:iCs/>
          <w:color w:val="3D3B39"/>
          <w:lang w:eastAsia="it-IT"/>
        </w:rPr>
        <w:t>bis</w:t>
      </w:r>
      <w:r w:rsidRPr="00694329">
        <w:rPr>
          <w:rFonts w:ascii="Tahoma" w:eastAsia="Times New Roman" w:hAnsi="Tahoma" w:cs="Tahoma"/>
          <w:color w:val="3D3B39"/>
          <w:lang w:eastAsia="it-IT"/>
        </w:rPr>
        <w:t> e 6-</w:t>
      </w:r>
      <w:r w:rsidRPr="00247A22">
        <w:rPr>
          <w:rFonts w:ascii="Tahoma" w:eastAsia="Times New Roman" w:hAnsi="Tahoma" w:cs="Tahoma"/>
          <w:i/>
          <w:iCs/>
          <w:color w:val="3D3B39"/>
          <w:lang w:eastAsia="it-IT"/>
        </w:rPr>
        <w:t>bis,</w:t>
      </w:r>
      <w:r w:rsidRPr="00694329">
        <w:rPr>
          <w:rFonts w:ascii="Tahoma" w:eastAsia="Times New Roman" w:hAnsi="Tahoma" w:cs="Tahoma"/>
          <w:color w:val="3D3B39"/>
          <w:lang w:eastAsia="it-IT"/>
        </w:rPr>
        <w:t xml:space="preserve"> Cod. </w:t>
      </w:r>
      <w:proofErr w:type="spellStart"/>
      <w:r w:rsidRPr="00694329">
        <w:rPr>
          <w:rFonts w:ascii="Tahoma" w:eastAsia="Times New Roman" w:hAnsi="Tahoma" w:cs="Tahoma"/>
          <w:color w:val="3D3B39"/>
          <w:lang w:eastAsia="it-IT"/>
        </w:rPr>
        <w:t>proc</w:t>
      </w:r>
      <w:proofErr w:type="spellEnd"/>
      <w:r w:rsidRPr="00694329">
        <w:rPr>
          <w:rFonts w:ascii="Tahoma" w:eastAsia="Times New Roman" w:hAnsi="Tahoma" w:cs="Tahoma"/>
          <w:color w:val="3D3B39"/>
          <w:lang w:eastAsia="it-IT"/>
        </w:rPr>
        <w:t xml:space="preserve">. </w:t>
      </w:r>
      <w:proofErr w:type="spellStart"/>
      <w:r w:rsidRPr="00694329">
        <w:rPr>
          <w:rFonts w:ascii="Tahoma" w:eastAsia="Times New Roman" w:hAnsi="Tahoma" w:cs="Tahoma"/>
          <w:color w:val="3D3B39"/>
          <w:lang w:eastAsia="it-IT"/>
        </w:rPr>
        <w:t>amm</w:t>
      </w:r>
      <w:proofErr w:type="spellEnd"/>
      <w:r w:rsidRPr="00694329">
        <w:rPr>
          <w:rFonts w:ascii="Tahoma" w:eastAsia="Times New Roman" w:hAnsi="Tahoma" w:cs="Tahoma"/>
          <w:color w:val="3D3B39"/>
          <w:lang w:eastAsia="it-IT"/>
        </w:rPr>
        <w:t xml:space="preserve">., sicché nulla osta a che un’istanza di sospensiva avverso un atto di ammissione possa esaminarsi in primo grado e, per quanto interessa, in sede di appello avverso la relativa ordinanza cautelare di rigetto; </w:t>
      </w:r>
      <w:r w:rsidRPr="00694329">
        <w:rPr>
          <w:rFonts w:ascii="Tahoma" w:eastAsia="Times New Roman" w:hAnsi="Tahoma" w:cs="Tahoma"/>
          <w:color w:val="3D3B39"/>
          <w:lang w:eastAsia="it-IT"/>
        </w:rPr>
        <w:br/>
        <w:t xml:space="preserve">Considerato che, ad avviso della Sezione, non può invece ritenersi ammissibile la proposizione di domande, cautelari e di merito, avverso l’aggiudicazione definitiva nell’ambito di un ricorso a tutela anticipata, preliminare e autonomo, che segue uno schema speciale nel contesto del già speciale “rito </w:t>
      </w:r>
      <w:proofErr w:type="spellStart"/>
      <w:r w:rsidRPr="00694329">
        <w:rPr>
          <w:rFonts w:ascii="Tahoma" w:eastAsia="Times New Roman" w:hAnsi="Tahoma" w:cs="Tahoma"/>
          <w:color w:val="3D3B39"/>
          <w:lang w:eastAsia="it-IT"/>
        </w:rPr>
        <w:t>appalti”,proposto</w:t>
      </w:r>
      <w:proofErr w:type="spellEnd"/>
      <w:r w:rsidRPr="00694329">
        <w:rPr>
          <w:rFonts w:ascii="Tahoma" w:eastAsia="Times New Roman" w:hAnsi="Tahoma" w:cs="Tahoma"/>
          <w:color w:val="3D3B39"/>
          <w:lang w:eastAsia="it-IT"/>
        </w:rPr>
        <w:t xml:space="preserve"> avverso un atto di ammissione e assoggettato come tale alla disciplina processuale dei commi 2-</w:t>
      </w:r>
      <w:r w:rsidRPr="00247A22">
        <w:rPr>
          <w:rFonts w:ascii="Tahoma" w:eastAsia="Times New Roman" w:hAnsi="Tahoma" w:cs="Tahoma"/>
          <w:i/>
          <w:iCs/>
          <w:color w:val="3D3B39"/>
          <w:lang w:eastAsia="it-IT"/>
        </w:rPr>
        <w:t>bis</w:t>
      </w:r>
      <w:r w:rsidRPr="00694329">
        <w:rPr>
          <w:rFonts w:ascii="Tahoma" w:eastAsia="Times New Roman" w:hAnsi="Tahoma" w:cs="Tahoma"/>
          <w:color w:val="3D3B39"/>
          <w:lang w:eastAsia="it-IT"/>
        </w:rPr>
        <w:t> e 6-</w:t>
      </w:r>
      <w:r w:rsidRPr="00247A22">
        <w:rPr>
          <w:rFonts w:ascii="Tahoma" w:eastAsia="Times New Roman" w:hAnsi="Tahoma" w:cs="Tahoma"/>
          <w:i/>
          <w:iCs/>
          <w:color w:val="3D3B39"/>
          <w:lang w:eastAsia="it-IT"/>
        </w:rPr>
        <w:t>bis</w:t>
      </w:r>
      <w:r w:rsidRPr="00694329">
        <w:rPr>
          <w:rFonts w:ascii="Tahoma" w:eastAsia="Times New Roman" w:hAnsi="Tahoma" w:cs="Tahoma"/>
          <w:color w:val="3D3B39"/>
          <w:lang w:eastAsia="it-IT"/>
        </w:rPr>
        <w:t xml:space="preserve"> del citato articolo 120 Cod. </w:t>
      </w:r>
      <w:proofErr w:type="spellStart"/>
      <w:r w:rsidRPr="00694329">
        <w:rPr>
          <w:rFonts w:ascii="Tahoma" w:eastAsia="Times New Roman" w:hAnsi="Tahoma" w:cs="Tahoma"/>
          <w:color w:val="3D3B39"/>
          <w:lang w:eastAsia="it-IT"/>
        </w:rPr>
        <w:t>proc</w:t>
      </w:r>
      <w:proofErr w:type="spellEnd"/>
      <w:r w:rsidRPr="00694329">
        <w:rPr>
          <w:rFonts w:ascii="Tahoma" w:eastAsia="Times New Roman" w:hAnsi="Tahoma" w:cs="Tahoma"/>
          <w:color w:val="3D3B39"/>
          <w:lang w:eastAsia="it-IT"/>
        </w:rPr>
        <w:t xml:space="preserve">. </w:t>
      </w:r>
      <w:proofErr w:type="spellStart"/>
      <w:r w:rsidRPr="00694329">
        <w:rPr>
          <w:rFonts w:ascii="Tahoma" w:eastAsia="Times New Roman" w:hAnsi="Tahoma" w:cs="Tahoma"/>
          <w:color w:val="3D3B39"/>
          <w:lang w:eastAsia="it-IT"/>
        </w:rPr>
        <w:t>amm</w:t>
      </w:r>
      <w:proofErr w:type="spellEnd"/>
      <w:r w:rsidRPr="00694329">
        <w:rPr>
          <w:rFonts w:ascii="Tahoma" w:eastAsia="Times New Roman" w:hAnsi="Tahoma" w:cs="Tahoma"/>
          <w:color w:val="3D3B39"/>
          <w:lang w:eastAsia="it-IT"/>
        </w:rPr>
        <w:t xml:space="preserve">. – rito chiamato in </w:t>
      </w:r>
      <w:proofErr w:type="spellStart"/>
      <w:r w:rsidRPr="00694329">
        <w:rPr>
          <w:rFonts w:ascii="Tahoma" w:eastAsia="Times New Roman" w:hAnsi="Tahoma" w:cs="Tahoma"/>
          <w:color w:val="3D3B39"/>
          <w:lang w:eastAsia="it-IT"/>
        </w:rPr>
        <w:t>dottrina“specialissimo</w:t>
      </w:r>
      <w:proofErr w:type="spellEnd"/>
      <w:r w:rsidRPr="00694329">
        <w:rPr>
          <w:rFonts w:ascii="Tahoma" w:eastAsia="Times New Roman" w:hAnsi="Tahoma" w:cs="Tahoma"/>
          <w:color w:val="3D3B39"/>
          <w:lang w:eastAsia="it-IT"/>
        </w:rPr>
        <w:t xml:space="preserve">” o “super speciale”, distinto per le speciali condizioni dell’azione e per la struttura del </w:t>
      </w:r>
      <w:proofErr w:type="spellStart"/>
      <w:r w:rsidRPr="00694329">
        <w:rPr>
          <w:rFonts w:ascii="Tahoma" w:eastAsia="Times New Roman" w:hAnsi="Tahoma" w:cs="Tahoma"/>
          <w:color w:val="3D3B39"/>
          <w:lang w:eastAsia="it-IT"/>
        </w:rPr>
        <w:t>giudizioe</w:t>
      </w:r>
      <w:proofErr w:type="spellEnd"/>
      <w:r w:rsidRPr="00694329">
        <w:rPr>
          <w:rFonts w:ascii="Tahoma" w:eastAsia="Times New Roman" w:hAnsi="Tahoma" w:cs="Tahoma"/>
          <w:color w:val="3D3B39"/>
          <w:lang w:eastAsia="it-IT"/>
        </w:rPr>
        <w:t xml:space="preserve"> finalizzato alla rapida costituzione di certezze giuridiche poi incontestabili sui protagonisti della gara-, dovendo, invece, anche agli strumentali fini cautelari trattarsi il ricorso avverso l’aggiudicazione definitiva secondo l’usuale rito, pur “speciale”, disciplinato dai restanti commi del citato articolo 120; </w:t>
      </w:r>
      <w:r w:rsidRPr="00694329">
        <w:rPr>
          <w:rFonts w:ascii="Tahoma" w:eastAsia="Times New Roman" w:hAnsi="Tahoma" w:cs="Tahoma"/>
          <w:color w:val="3D3B39"/>
          <w:lang w:eastAsia="it-IT"/>
        </w:rPr>
        <w:br/>
        <w:t xml:space="preserve">Considerato che la relativa questione di rito – indicata da </w:t>
      </w:r>
      <w:proofErr w:type="spellStart"/>
      <w:r w:rsidRPr="00694329">
        <w:rPr>
          <w:rFonts w:ascii="Tahoma" w:eastAsia="Times New Roman" w:hAnsi="Tahoma" w:cs="Tahoma"/>
          <w:color w:val="3D3B39"/>
          <w:lang w:eastAsia="it-IT"/>
        </w:rPr>
        <w:t>questogiudice</w:t>
      </w:r>
      <w:proofErr w:type="spellEnd"/>
      <w:r w:rsidRPr="00694329">
        <w:rPr>
          <w:rFonts w:ascii="Tahoma" w:eastAsia="Times New Roman" w:hAnsi="Tahoma" w:cs="Tahoma"/>
          <w:color w:val="3D3B39"/>
          <w:lang w:eastAsia="it-IT"/>
        </w:rPr>
        <w:t xml:space="preserve"> dell’appello cautelare alle parti alla camera di consiglio del 9 marzo 2017 con gli effetti dell’art. 73, comma 3, Cod. </w:t>
      </w:r>
      <w:proofErr w:type="spellStart"/>
      <w:r w:rsidRPr="00694329">
        <w:rPr>
          <w:rFonts w:ascii="Tahoma" w:eastAsia="Times New Roman" w:hAnsi="Tahoma" w:cs="Tahoma"/>
          <w:color w:val="3D3B39"/>
          <w:lang w:eastAsia="it-IT"/>
        </w:rPr>
        <w:t>proc</w:t>
      </w:r>
      <w:proofErr w:type="spellEnd"/>
      <w:r w:rsidRPr="00694329">
        <w:rPr>
          <w:rFonts w:ascii="Tahoma" w:eastAsia="Times New Roman" w:hAnsi="Tahoma" w:cs="Tahoma"/>
          <w:color w:val="3D3B39"/>
          <w:lang w:eastAsia="it-IT"/>
        </w:rPr>
        <w:t xml:space="preserve">. </w:t>
      </w:r>
      <w:proofErr w:type="spellStart"/>
      <w:r w:rsidRPr="00694329">
        <w:rPr>
          <w:rFonts w:ascii="Tahoma" w:eastAsia="Times New Roman" w:hAnsi="Tahoma" w:cs="Tahoma"/>
          <w:color w:val="3D3B39"/>
          <w:lang w:eastAsia="it-IT"/>
        </w:rPr>
        <w:t>amm</w:t>
      </w:r>
      <w:proofErr w:type="spellEnd"/>
      <w:r w:rsidRPr="00694329">
        <w:rPr>
          <w:rFonts w:ascii="Tahoma" w:eastAsia="Times New Roman" w:hAnsi="Tahoma" w:cs="Tahoma"/>
          <w:color w:val="3D3B39"/>
          <w:lang w:eastAsia="it-IT"/>
        </w:rPr>
        <w:t>. - è rilevabile d’ufficio anche in sede di gravame ed è apprezzabile, ai relativi fini, anche nella presente sede dell’appello cautelare, in quanto </w:t>
      </w:r>
      <w:r w:rsidRPr="00247A22">
        <w:rPr>
          <w:rFonts w:ascii="Tahoma" w:eastAsia="Times New Roman" w:hAnsi="Tahoma" w:cs="Tahoma"/>
          <w:i/>
          <w:iCs/>
          <w:color w:val="3D3B39"/>
          <w:lang w:eastAsia="it-IT"/>
        </w:rPr>
        <w:t>“i riti speciali e il loro ambito applicativo sono stabiliti dalla legge, per ragioni che rientrano nelle scelte discrezionali del legislatore […] e pertanto l’applicazione del rito è doverosa ed oggettiva, e non vi è spazio per una scelta del rito, o sua disapplicazione, ad opera delle parti o del giudice”, </w:t>
      </w:r>
      <w:r w:rsidRPr="00694329">
        <w:rPr>
          <w:rFonts w:ascii="Tahoma" w:eastAsia="Times New Roman" w:hAnsi="Tahoma" w:cs="Tahoma"/>
          <w:color w:val="3D3B39"/>
          <w:lang w:eastAsia="it-IT"/>
        </w:rPr>
        <w:t>e ritenuto, altresì, che </w:t>
      </w:r>
      <w:r w:rsidRPr="00247A22">
        <w:rPr>
          <w:rFonts w:ascii="Tahoma" w:eastAsia="Times New Roman" w:hAnsi="Tahoma" w:cs="Tahoma"/>
          <w:i/>
          <w:iCs/>
          <w:color w:val="3D3B39"/>
          <w:lang w:eastAsia="it-IT"/>
        </w:rPr>
        <w:t>“nel processo amministrativo non possono trovare applicazione pedissequa i principi enunciati dalla Cassazione in tema di erronea scelta del rito da parte del giudice”</w:t>
      </w:r>
      <w:r w:rsidRPr="00694329">
        <w:rPr>
          <w:rFonts w:ascii="Tahoma" w:eastAsia="Times New Roman" w:hAnsi="Tahoma" w:cs="Tahoma"/>
          <w:color w:val="3D3B39"/>
          <w:lang w:eastAsia="it-IT"/>
        </w:rPr>
        <w:t> perché in tale processo</w:t>
      </w:r>
      <w:r w:rsidRPr="00247A22">
        <w:rPr>
          <w:rFonts w:ascii="Tahoma" w:eastAsia="Times New Roman" w:hAnsi="Tahoma" w:cs="Tahoma"/>
          <w:i/>
          <w:iCs/>
          <w:color w:val="3D3B39"/>
          <w:lang w:eastAsia="it-IT"/>
        </w:rPr>
        <w:t> “i riti non rientrano nella disponibilità delle parti o del giudice, essendo imposti dalla legge per ragioni di interesse pubblico” </w:t>
      </w:r>
      <w:r w:rsidRPr="00694329">
        <w:rPr>
          <w:rFonts w:ascii="Tahoma" w:eastAsia="Times New Roman" w:hAnsi="Tahoma" w:cs="Tahoma"/>
          <w:color w:val="3D3B39"/>
          <w:lang w:eastAsia="it-IT"/>
        </w:rPr>
        <w:t>(</w:t>
      </w:r>
      <w:proofErr w:type="spellStart"/>
      <w:r w:rsidRPr="00694329">
        <w:rPr>
          <w:rFonts w:ascii="Tahoma" w:eastAsia="Times New Roman" w:hAnsi="Tahoma" w:cs="Tahoma"/>
          <w:color w:val="3D3B39"/>
          <w:lang w:eastAsia="it-IT"/>
        </w:rPr>
        <w:t>Cons</w:t>
      </w:r>
      <w:proofErr w:type="spellEnd"/>
      <w:r w:rsidRPr="00694329">
        <w:rPr>
          <w:rFonts w:ascii="Tahoma" w:eastAsia="Times New Roman" w:hAnsi="Tahoma" w:cs="Tahoma"/>
          <w:color w:val="3D3B39"/>
          <w:lang w:eastAsia="it-IT"/>
        </w:rPr>
        <w:t xml:space="preserve">. Stato, Ad. </w:t>
      </w:r>
      <w:proofErr w:type="spellStart"/>
      <w:r w:rsidRPr="00694329">
        <w:rPr>
          <w:rFonts w:ascii="Tahoma" w:eastAsia="Times New Roman" w:hAnsi="Tahoma" w:cs="Tahoma"/>
          <w:color w:val="3D3B39"/>
          <w:lang w:eastAsia="it-IT"/>
        </w:rPr>
        <w:t>plen</w:t>
      </w:r>
      <w:proofErr w:type="spellEnd"/>
      <w:r w:rsidRPr="00694329">
        <w:rPr>
          <w:rFonts w:ascii="Tahoma" w:eastAsia="Times New Roman" w:hAnsi="Tahoma" w:cs="Tahoma"/>
          <w:color w:val="3D3B39"/>
          <w:lang w:eastAsia="it-IT"/>
        </w:rPr>
        <w:t xml:space="preserve">., 9 agosto 2012, n. 32); </w:t>
      </w:r>
      <w:r w:rsidRPr="00694329">
        <w:rPr>
          <w:rFonts w:ascii="Tahoma" w:eastAsia="Times New Roman" w:hAnsi="Tahoma" w:cs="Tahoma"/>
          <w:color w:val="3D3B39"/>
          <w:lang w:eastAsia="it-IT"/>
        </w:rPr>
        <w:br/>
        <w:t xml:space="preserve">Ritenuto, in particolare, che non sussistano nel caso di specie i presupposti per la possibile trattazione nello stesso giudizio di domande, pur cautelari, connesse soggette a questi riti, ai sensi dell’articolo 32, comma 1, Cod. </w:t>
      </w:r>
      <w:proofErr w:type="spellStart"/>
      <w:r w:rsidRPr="00694329">
        <w:rPr>
          <w:rFonts w:ascii="Tahoma" w:eastAsia="Times New Roman" w:hAnsi="Tahoma" w:cs="Tahoma"/>
          <w:color w:val="3D3B39"/>
          <w:lang w:eastAsia="it-IT"/>
        </w:rPr>
        <w:t>proc</w:t>
      </w:r>
      <w:proofErr w:type="spellEnd"/>
      <w:r w:rsidRPr="00694329">
        <w:rPr>
          <w:rFonts w:ascii="Tahoma" w:eastAsia="Times New Roman" w:hAnsi="Tahoma" w:cs="Tahoma"/>
          <w:color w:val="3D3B39"/>
          <w:lang w:eastAsia="it-IT"/>
        </w:rPr>
        <w:t xml:space="preserve">. </w:t>
      </w:r>
      <w:proofErr w:type="spellStart"/>
      <w:r w:rsidRPr="00694329">
        <w:rPr>
          <w:rFonts w:ascii="Tahoma" w:eastAsia="Times New Roman" w:hAnsi="Tahoma" w:cs="Tahoma"/>
          <w:color w:val="3D3B39"/>
          <w:lang w:eastAsia="it-IT"/>
        </w:rPr>
        <w:t>amm</w:t>
      </w:r>
      <w:proofErr w:type="spellEnd"/>
      <w:r w:rsidRPr="00694329">
        <w:rPr>
          <w:rFonts w:ascii="Tahoma" w:eastAsia="Times New Roman" w:hAnsi="Tahoma" w:cs="Tahoma"/>
          <w:color w:val="3D3B39"/>
          <w:lang w:eastAsia="it-IT"/>
        </w:rPr>
        <w:t xml:space="preserve">., anzitutto per ragioni testuali in quanto tale disposizione non può trovare applicazione nel caso di riti entrambi previsti dal Titolo V del Libro IV, Cod. </w:t>
      </w:r>
      <w:proofErr w:type="spellStart"/>
      <w:r w:rsidRPr="00694329">
        <w:rPr>
          <w:rFonts w:ascii="Tahoma" w:eastAsia="Times New Roman" w:hAnsi="Tahoma" w:cs="Tahoma"/>
          <w:color w:val="3D3B39"/>
          <w:lang w:eastAsia="it-IT"/>
        </w:rPr>
        <w:t>proc</w:t>
      </w:r>
      <w:proofErr w:type="spellEnd"/>
      <w:r w:rsidRPr="00694329">
        <w:rPr>
          <w:rFonts w:ascii="Tahoma" w:eastAsia="Times New Roman" w:hAnsi="Tahoma" w:cs="Tahoma"/>
          <w:color w:val="3D3B39"/>
          <w:lang w:eastAsia="it-IT"/>
        </w:rPr>
        <w:t xml:space="preserve">. </w:t>
      </w:r>
      <w:proofErr w:type="spellStart"/>
      <w:r w:rsidRPr="00694329">
        <w:rPr>
          <w:rFonts w:ascii="Tahoma" w:eastAsia="Times New Roman" w:hAnsi="Tahoma" w:cs="Tahoma"/>
          <w:color w:val="3D3B39"/>
          <w:lang w:eastAsia="it-IT"/>
        </w:rPr>
        <w:t>amm</w:t>
      </w:r>
      <w:proofErr w:type="spellEnd"/>
      <w:r w:rsidRPr="00694329">
        <w:rPr>
          <w:rFonts w:ascii="Tahoma" w:eastAsia="Times New Roman" w:hAnsi="Tahoma" w:cs="Tahoma"/>
          <w:color w:val="3D3B39"/>
          <w:lang w:eastAsia="it-IT"/>
        </w:rPr>
        <w:t xml:space="preserve">.; </w:t>
      </w:r>
      <w:r w:rsidRPr="00694329">
        <w:rPr>
          <w:rFonts w:ascii="Tahoma" w:eastAsia="Times New Roman" w:hAnsi="Tahoma" w:cs="Tahoma"/>
          <w:color w:val="3D3B39"/>
          <w:lang w:eastAsia="it-IT"/>
        </w:rPr>
        <w:br/>
      </w:r>
      <w:r w:rsidRPr="00694329">
        <w:rPr>
          <w:rFonts w:ascii="Tahoma" w:eastAsia="Times New Roman" w:hAnsi="Tahoma" w:cs="Tahoma"/>
          <w:color w:val="3D3B39"/>
          <w:lang w:eastAsia="it-IT"/>
        </w:rPr>
        <w:lastRenderedPageBreak/>
        <w:t>Ritenuto, altresì, che un’interpretazione della vigente disciplina processuale nel senso di ammettere il cumulo e la trattazione congiunta delle domande con applicazione ad entrambe del rito “speciale” in luogo del rito “specialissimo” o “super speciale” apparirebbe in contrasto non solo con la </w:t>
      </w:r>
      <w:r w:rsidRPr="00247A22">
        <w:rPr>
          <w:rFonts w:ascii="Tahoma" w:eastAsia="Times New Roman" w:hAnsi="Tahoma" w:cs="Tahoma"/>
          <w:i/>
          <w:iCs/>
          <w:color w:val="3D3B39"/>
          <w:lang w:eastAsia="it-IT"/>
        </w:rPr>
        <w:t>ratio</w:t>
      </w:r>
      <w:r w:rsidRPr="00694329">
        <w:rPr>
          <w:rFonts w:ascii="Tahoma" w:eastAsia="Times New Roman" w:hAnsi="Tahoma" w:cs="Tahoma"/>
          <w:color w:val="3D3B39"/>
          <w:lang w:eastAsia="it-IT"/>
        </w:rPr>
        <w:t> della disciplina dettata dai citati commi 2-</w:t>
      </w:r>
      <w:r w:rsidRPr="00247A22">
        <w:rPr>
          <w:rFonts w:ascii="Tahoma" w:eastAsia="Times New Roman" w:hAnsi="Tahoma" w:cs="Tahoma"/>
          <w:i/>
          <w:iCs/>
          <w:color w:val="3D3B39"/>
          <w:lang w:eastAsia="it-IT"/>
        </w:rPr>
        <w:t>bis</w:t>
      </w:r>
      <w:r w:rsidRPr="00694329">
        <w:rPr>
          <w:rFonts w:ascii="Tahoma" w:eastAsia="Times New Roman" w:hAnsi="Tahoma" w:cs="Tahoma"/>
          <w:color w:val="3D3B39"/>
          <w:lang w:eastAsia="it-IT"/>
        </w:rPr>
        <w:t> e 6-</w:t>
      </w:r>
      <w:r w:rsidRPr="00247A22">
        <w:rPr>
          <w:rFonts w:ascii="Tahoma" w:eastAsia="Times New Roman" w:hAnsi="Tahoma" w:cs="Tahoma"/>
          <w:i/>
          <w:iCs/>
          <w:color w:val="3D3B39"/>
          <w:lang w:eastAsia="it-IT"/>
        </w:rPr>
        <w:t>bis</w:t>
      </w:r>
      <w:r w:rsidRPr="00694329">
        <w:rPr>
          <w:rFonts w:ascii="Tahoma" w:eastAsia="Times New Roman" w:hAnsi="Tahoma" w:cs="Tahoma"/>
          <w:color w:val="3D3B39"/>
          <w:lang w:eastAsia="it-IT"/>
        </w:rPr>
        <w:t xml:space="preserve">, in quanto – introducendo surrettiziamente un terzo </w:t>
      </w:r>
      <w:proofErr w:type="spellStart"/>
      <w:r w:rsidRPr="00694329">
        <w:rPr>
          <w:rFonts w:ascii="Tahoma" w:eastAsia="Times New Roman" w:hAnsi="Tahoma" w:cs="Tahoma"/>
          <w:color w:val="3D3B39"/>
          <w:lang w:eastAsia="it-IT"/>
        </w:rPr>
        <w:t>rito,misto</w:t>
      </w:r>
      <w:proofErr w:type="spellEnd"/>
      <w:r w:rsidRPr="00694329">
        <w:rPr>
          <w:rFonts w:ascii="Tahoma" w:eastAsia="Times New Roman" w:hAnsi="Tahoma" w:cs="Tahoma"/>
          <w:color w:val="3D3B39"/>
          <w:lang w:eastAsia="it-IT"/>
        </w:rPr>
        <w:t xml:space="preserve"> tra i due - ostacolerebbe il conseguimento sistematico delle finalità che con il rito dell’art. 120, comma 2-</w:t>
      </w:r>
      <w:r w:rsidRPr="00247A22">
        <w:rPr>
          <w:rFonts w:ascii="Tahoma" w:eastAsia="Times New Roman" w:hAnsi="Tahoma" w:cs="Tahoma"/>
          <w:i/>
          <w:iCs/>
          <w:color w:val="3D3B39"/>
          <w:lang w:eastAsia="it-IT"/>
        </w:rPr>
        <w:t>bis</w:t>
      </w:r>
      <w:r w:rsidRPr="00694329">
        <w:rPr>
          <w:rFonts w:ascii="Tahoma" w:eastAsia="Times New Roman" w:hAnsi="Tahoma" w:cs="Tahoma"/>
          <w:color w:val="3D3B39"/>
          <w:lang w:eastAsia="it-IT"/>
        </w:rPr>
        <w:t xml:space="preserve">la nuova norma </w:t>
      </w:r>
      <w:proofErr w:type="spellStart"/>
      <w:r w:rsidRPr="00694329">
        <w:rPr>
          <w:rFonts w:ascii="Tahoma" w:eastAsia="Times New Roman" w:hAnsi="Tahoma" w:cs="Tahoma"/>
          <w:color w:val="3D3B39"/>
          <w:lang w:eastAsia="it-IT"/>
        </w:rPr>
        <w:t>intenderealizzare</w:t>
      </w:r>
      <w:proofErr w:type="spellEnd"/>
      <w:r w:rsidRPr="00694329">
        <w:rPr>
          <w:rFonts w:ascii="Tahoma" w:eastAsia="Times New Roman" w:hAnsi="Tahoma" w:cs="Tahoma"/>
          <w:color w:val="3D3B39"/>
          <w:lang w:eastAsia="it-IT"/>
        </w:rPr>
        <w:t xml:space="preserve">; ma anche con le ricordate e distinte condizioni dell’azione e struttura del rito </w:t>
      </w:r>
      <w:proofErr w:type="spellStart"/>
      <w:r w:rsidRPr="00694329">
        <w:rPr>
          <w:rFonts w:ascii="Tahoma" w:eastAsia="Times New Roman" w:hAnsi="Tahoma" w:cs="Tahoma"/>
          <w:color w:val="3D3B39"/>
          <w:lang w:eastAsia="it-IT"/>
        </w:rPr>
        <w:t>anticipato,che</w:t>
      </w:r>
      <w:proofErr w:type="spellEnd"/>
      <w:r w:rsidRPr="00694329">
        <w:rPr>
          <w:rFonts w:ascii="Tahoma" w:eastAsia="Times New Roman" w:hAnsi="Tahoma" w:cs="Tahoma"/>
          <w:color w:val="3D3B39"/>
          <w:lang w:eastAsia="it-IT"/>
        </w:rPr>
        <w:t xml:space="preserve"> - a differenza di quanto avviene per altre azioni del processo amministrativo - non possono né essere confuse con le usuali, né esservi assorbite o assorbirle; del resto la novella all’art. 120 disegna per le gare pubbliche un nuovo modello complessivo di contenzioso a duplice sequenza, disgiunto per fasi successive del procedimento di gara, dove la raggiunta certezza preventiva circa la </w:t>
      </w:r>
      <w:r w:rsidRPr="00247A22">
        <w:rPr>
          <w:rFonts w:ascii="Tahoma" w:eastAsia="Times New Roman" w:hAnsi="Tahoma" w:cs="Tahoma"/>
          <w:i/>
          <w:iCs/>
          <w:color w:val="3D3B39"/>
          <w:lang w:eastAsia="it-IT"/>
        </w:rPr>
        <w:t>res controversa</w:t>
      </w:r>
      <w:r w:rsidRPr="00694329">
        <w:rPr>
          <w:rFonts w:ascii="Tahoma" w:eastAsia="Times New Roman" w:hAnsi="Tahoma" w:cs="Tahoma"/>
          <w:color w:val="3D3B39"/>
          <w:lang w:eastAsia="it-IT"/>
        </w:rPr>
        <w:t xml:space="preserve"> della prima è immaginata come presupposto di sicurezza della seconda; </w:t>
      </w:r>
      <w:r w:rsidRPr="00694329">
        <w:rPr>
          <w:rFonts w:ascii="Tahoma" w:eastAsia="Times New Roman" w:hAnsi="Tahoma" w:cs="Tahoma"/>
          <w:color w:val="3D3B39"/>
          <w:lang w:eastAsia="it-IT"/>
        </w:rPr>
        <w:br/>
        <w:t xml:space="preserve">Ritenuto, pertanto, che – anche nel quadro del procedimento cautelare –nel caso di proposizione con unico ricorso di domanda di annullamento avverso l’atto di ammissione di un concorrente e di domanda avverso l’atto di aggiudicazione definitiva in favore del medesimo debba ritenersi ritualmente proposta, ed esaminarsi, la sola domanda avverso l’atto di ammissione, secondo l’ordine di priorità logica e processuale dei due riti disciplinati dall’art. 120 Cod. </w:t>
      </w:r>
      <w:proofErr w:type="spellStart"/>
      <w:r w:rsidRPr="00694329">
        <w:rPr>
          <w:rFonts w:ascii="Tahoma" w:eastAsia="Times New Roman" w:hAnsi="Tahoma" w:cs="Tahoma"/>
          <w:color w:val="3D3B39"/>
          <w:lang w:eastAsia="it-IT"/>
        </w:rPr>
        <w:t>proc</w:t>
      </w:r>
      <w:proofErr w:type="spellEnd"/>
      <w:r w:rsidRPr="00694329">
        <w:rPr>
          <w:rFonts w:ascii="Tahoma" w:eastAsia="Times New Roman" w:hAnsi="Tahoma" w:cs="Tahoma"/>
          <w:color w:val="3D3B39"/>
          <w:lang w:eastAsia="it-IT"/>
        </w:rPr>
        <w:t xml:space="preserve">. </w:t>
      </w:r>
      <w:proofErr w:type="spellStart"/>
      <w:r w:rsidRPr="00694329">
        <w:rPr>
          <w:rFonts w:ascii="Tahoma" w:eastAsia="Times New Roman" w:hAnsi="Tahoma" w:cs="Tahoma"/>
          <w:color w:val="3D3B39"/>
          <w:lang w:eastAsia="it-IT"/>
        </w:rPr>
        <w:t>amm</w:t>
      </w:r>
      <w:proofErr w:type="spellEnd"/>
      <w:r w:rsidRPr="00694329">
        <w:rPr>
          <w:rFonts w:ascii="Tahoma" w:eastAsia="Times New Roman" w:hAnsi="Tahoma" w:cs="Tahoma"/>
          <w:color w:val="3D3B39"/>
          <w:lang w:eastAsia="it-IT"/>
        </w:rPr>
        <w:t xml:space="preserve">., mentre la domanda (qui cautelare) proposta avverso l’aggiudicazione definitiva deve ritenersi non ritualmente introdotta e come tale inammissibile; </w:t>
      </w:r>
      <w:r w:rsidRPr="00694329">
        <w:rPr>
          <w:rFonts w:ascii="Tahoma" w:eastAsia="Times New Roman" w:hAnsi="Tahoma" w:cs="Tahoma"/>
          <w:color w:val="3D3B39"/>
          <w:lang w:eastAsia="it-IT"/>
        </w:rPr>
        <w:br/>
        <w:t xml:space="preserve">Considerato, inoltre, che la ritenuta inammissibilità del ricorso (cautelare, come poi di merito) nella parte in cui è diretto anche all’annullamento dell’atto di aggiudicazione non rende inammissibile e non preclude, nel presente processo, l’esame del ricorso avverso l’atto di ammissione e della relativa domanda cautelare; </w:t>
      </w:r>
      <w:r w:rsidRPr="00694329">
        <w:rPr>
          <w:rFonts w:ascii="Tahoma" w:eastAsia="Times New Roman" w:hAnsi="Tahoma" w:cs="Tahoma"/>
          <w:color w:val="3D3B39"/>
          <w:lang w:eastAsia="it-IT"/>
        </w:rPr>
        <w:br/>
        <w:t xml:space="preserve">Considerato, infatti, che il ricorrente ha proposto il ricorso cumulativo osservando anche i termini per l’impugnazione dell’aggiudicazione definitiva, rendendo possibile la riassunzione dell’inerente azione davanti al primo giudice; </w:t>
      </w:r>
      <w:r w:rsidRPr="00694329">
        <w:rPr>
          <w:rFonts w:ascii="Tahoma" w:eastAsia="Times New Roman" w:hAnsi="Tahoma" w:cs="Tahoma"/>
          <w:color w:val="3D3B39"/>
          <w:lang w:eastAsia="it-IT"/>
        </w:rPr>
        <w:br/>
        <w:t xml:space="preserve">Considerato che si ravvisano, comunque, i presupposti per l’applicazione della disciplina in materia di errore scusabile, essendosi in presenza di obiettive ragioni di incertezza sull’interpretazione della disciplina processuale applicabile nonché di una diversa giurisprudenza del giudice qui adito in primo grado e tenuto conto anche del fatto che la questione non è stata eccepita o rilevata nel primo grado del presente giudizio (v. ancora </w:t>
      </w:r>
      <w:proofErr w:type="spellStart"/>
      <w:r w:rsidRPr="00694329">
        <w:rPr>
          <w:rFonts w:ascii="Tahoma" w:eastAsia="Times New Roman" w:hAnsi="Tahoma" w:cs="Tahoma"/>
          <w:color w:val="3D3B39"/>
          <w:lang w:eastAsia="it-IT"/>
        </w:rPr>
        <w:t>Cons</w:t>
      </w:r>
      <w:proofErr w:type="spellEnd"/>
      <w:r w:rsidRPr="00694329">
        <w:rPr>
          <w:rFonts w:ascii="Tahoma" w:eastAsia="Times New Roman" w:hAnsi="Tahoma" w:cs="Tahoma"/>
          <w:color w:val="3D3B39"/>
          <w:lang w:eastAsia="it-IT"/>
        </w:rPr>
        <w:t xml:space="preserve">. Stato, Ad. </w:t>
      </w:r>
      <w:proofErr w:type="spellStart"/>
      <w:r w:rsidRPr="00694329">
        <w:rPr>
          <w:rFonts w:ascii="Tahoma" w:eastAsia="Times New Roman" w:hAnsi="Tahoma" w:cs="Tahoma"/>
          <w:color w:val="3D3B39"/>
          <w:lang w:eastAsia="it-IT"/>
        </w:rPr>
        <w:t>plen</w:t>
      </w:r>
      <w:proofErr w:type="spellEnd"/>
      <w:r w:rsidRPr="00694329">
        <w:rPr>
          <w:rFonts w:ascii="Tahoma" w:eastAsia="Times New Roman" w:hAnsi="Tahoma" w:cs="Tahoma"/>
          <w:color w:val="3D3B39"/>
          <w:lang w:eastAsia="it-IT"/>
        </w:rPr>
        <w:t xml:space="preserve">., n. 32 del 2012); </w:t>
      </w:r>
      <w:r w:rsidRPr="00694329">
        <w:rPr>
          <w:rFonts w:ascii="Tahoma" w:eastAsia="Times New Roman" w:hAnsi="Tahoma" w:cs="Tahoma"/>
          <w:color w:val="3D3B39"/>
          <w:lang w:eastAsia="it-IT"/>
        </w:rPr>
        <w:br/>
        <w:t xml:space="preserve">Ritenuto, pertanto, che nel caso di specie l’aggiudicazione definitiva non è divenuta inoppugnabile, in quanto nulla osta a che il Tribunale amministrativo adito, all’udienza già fissata per il 7 giugno 2017, su apposita istanza del ricorrente originario diretta a far riassumere e trattare il giudizio contro l’aggiudicazione (e gli atti </w:t>
      </w:r>
      <w:proofErr w:type="spellStart"/>
      <w:r w:rsidRPr="00694329">
        <w:rPr>
          <w:rFonts w:ascii="Tahoma" w:eastAsia="Times New Roman" w:hAnsi="Tahoma" w:cs="Tahoma"/>
          <w:color w:val="3D3B39"/>
          <w:lang w:eastAsia="it-IT"/>
        </w:rPr>
        <w:t>digara</w:t>
      </w:r>
      <w:proofErr w:type="spellEnd"/>
      <w:r w:rsidRPr="00694329">
        <w:rPr>
          <w:rFonts w:ascii="Tahoma" w:eastAsia="Times New Roman" w:hAnsi="Tahoma" w:cs="Tahoma"/>
          <w:color w:val="3D3B39"/>
          <w:lang w:eastAsia="it-IT"/>
        </w:rPr>
        <w:t xml:space="preserve"> diversi da quelli dell’art. 120, comma 2-</w:t>
      </w:r>
      <w:r w:rsidRPr="00247A22">
        <w:rPr>
          <w:rFonts w:ascii="Tahoma" w:eastAsia="Times New Roman" w:hAnsi="Tahoma" w:cs="Tahoma"/>
          <w:i/>
          <w:iCs/>
          <w:color w:val="3D3B39"/>
          <w:lang w:eastAsia="it-IT"/>
        </w:rPr>
        <w:t>bis</w:t>
      </w:r>
      <w:r w:rsidRPr="00694329">
        <w:rPr>
          <w:rFonts w:ascii="Tahoma" w:eastAsia="Times New Roman" w:hAnsi="Tahoma" w:cs="Tahoma"/>
          <w:color w:val="3D3B39"/>
          <w:lang w:eastAsia="it-IT"/>
        </w:rPr>
        <w:t xml:space="preserve">)con il rito </w:t>
      </w:r>
      <w:proofErr w:type="spellStart"/>
      <w:r w:rsidRPr="00694329">
        <w:rPr>
          <w:rFonts w:ascii="Tahoma" w:eastAsia="Times New Roman" w:hAnsi="Tahoma" w:cs="Tahoma"/>
          <w:color w:val="3D3B39"/>
          <w:lang w:eastAsia="it-IT"/>
        </w:rPr>
        <w:t>previsto,proceda</w:t>
      </w:r>
      <w:proofErr w:type="spellEnd"/>
      <w:r w:rsidRPr="00694329">
        <w:rPr>
          <w:rFonts w:ascii="Tahoma" w:eastAsia="Times New Roman" w:hAnsi="Tahoma" w:cs="Tahoma"/>
          <w:color w:val="3D3B39"/>
          <w:lang w:eastAsia="it-IT"/>
        </w:rPr>
        <w:t xml:space="preserve"> a disporre la separazione dei giudizi e fissi a udienza pubblica la trattazione delle domande avverso l’atto di aggiudicazione (e gli atti di gara diversi da quelli dell’art. 120, comma 2-</w:t>
      </w:r>
      <w:r w:rsidRPr="00247A22">
        <w:rPr>
          <w:rFonts w:ascii="Tahoma" w:eastAsia="Times New Roman" w:hAnsi="Tahoma" w:cs="Tahoma"/>
          <w:i/>
          <w:iCs/>
          <w:color w:val="3D3B39"/>
          <w:lang w:eastAsia="it-IT"/>
        </w:rPr>
        <w:t>bis</w:t>
      </w:r>
      <w:r w:rsidRPr="00694329">
        <w:rPr>
          <w:rFonts w:ascii="Tahoma" w:eastAsia="Times New Roman" w:hAnsi="Tahoma" w:cs="Tahoma"/>
          <w:color w:val="3D3B39"/>
          <w:lang w:eastAsia="it-IT"/>
        </w:rPr>
        <w:t xml:space="preserve">), nel distinto rispetto del relativo </w:t>
      </w:r>
      <w:proofErr w:type="spellStart"/>
      <w:r w:rsidRPr="00694329">
        <w:rPr>
          <w:rFonts w:ascii="Tahoma" w:eastAsia="Times New Roman" w:hAnsi="Tahoma" w:cs="Tahoma"/>
          <w:color w:val="3D3B39"/>
          <w:lang w:eastAsia="it-IT"/>
        </w:rPr>
        <w:t>rito“speciale</w:t>
      </w:r>
      <w:proofErr w:type="spellEnd"/>
      <w:r w:rsidRPr="00694329">
        <w:rPr>
          <w:rFonts w:ascii="Tahoma" w:eastAsia="Times New Roman" w:hAnsi="Tahoma" w:cs="Tahoma"/>
          <w:color w:val="3D3B39"/>
          <w:lang w:eastAsia="it-IT"/>
        </w:rPr>
        <w:t>” e secondo una numerazione autonoma nel ruolo; e che – per ciò che segnatamente concerne lo strumentale giudizio cautelare qui impropriamente dedotto, sempre su istanza di riassunzione provveda alla trattazione -in camera di consiglio da fissare - della già proposta domanda cautelare avverso l’aggiudicazione e gli atti di gara diversi da quelli dell’art. 120, comma 2-</w:t>
      </w:r>
      <w:r w:rsidRPr="00247A22">
        <w:rPr>
          <w:rFonts w:ascii="Tahoma" w:eastAsia="Times New Roman" w:hAnsi="Tahoma" w:cs="Tahoma"/>
          <w:i/>
          <w:iCs/>
          <w:color w:val="3D3B39"/>
          <w:lang w:eastAsia="it-IT"/>
        </w:rPr>
        <w:t>bis</w:t>
      </w:r>
      <w:r w:rsidRPr="00694329">
        <w:rPr>
          <w:rFonts w:ascii="Tahoma" w:eastAsia="Times New Roman" w:hAnsi="Tahoma" w:cs="Tahoma"/>
          <w:color w:val="3D3B39"/>
          <w:lang w:eastAsia="it-IT"/>
        </w:rPr>
        <w:t xml:space="preserve"> (essendo per le dette ragioni nulla e priva di effetti la trattazione cautelare già avvenuta in occasione della qui impugnata ordinanza); </w:t>
      </w:r>
      <w:r w:rsidRPr="00694329">
        <w:rPr>
          <w:rFonts w:ascii="Tahoma" w:eastAsia="Times New Roman" w:hAnsi="Tahoma" w:cs="Tahoma"/>
          <w:color w:val="3D3B39"/>
          <w:lang w:eastAsia="it-IT"/>
        </w:rPr>
        <w:br/>
        <w:t xml:space="preserve">Ritenuto, per quanto in premessa e per ciò che concerne il giudizio cautelare, di poter qui procedere all’esame dell’appello con riguardo all’istanza di sospensiva del predetto atto di ammissione, mentre, salvi comunque gli effetti della decisione su tale istanza, non possono direttamente esaminarsi in questa sede domande cautelari avverso successivi atti del procedimento, ivi incluso l’atto di aggiudicazione; </w:t>
      </w:r>
      <w:r w:rsidRPr="00694329">
        <w:rPr>
          <w:rFonts w:ascii="Tahoma" w:eastAsia="Times New Roman" w:hAnsi="Tahoma" w:cs="Tahoma"/>
          <w:color w:val="3D3B39"/>
          <w:lang w:eastAsia="it-IT"/>
        </w:rPr>
        <w:br/>
        <w:t>Considerato che il cennato appello cautelare, con riguardo al suddetto capo di ricorso, appare meritevole di accoglimento, sia perché, ad una sommaria valutazione propria della presente sede cautelare, i motivi di ricorso con cui si fa valere l’illegittimità dell’ammissione dell’impresa aggiudicataria appaiono allo stato assistiti dal requisito del </w:t>
      </w:r>
      <w:proofErr w:type="spellStart"/>
      <w:r w:rsidRPr="00247A22">
        <w:rPr>
          <w:rFonts w:ascii="Tahoma" w:eastAsia="Times New Roman" w:hAnsi="Tahoma" w:cs="Tahoma"/>
          <w:i/>
          <w:iCs/>
          <w:color w:val="3D3B39"/>
          <w:lang w:eastAsia="it-IT"/>
        </w:rPr>
        <w:t>fumus</w:t>
      </w:r>
      <w:proofErr w:type="spellEnd"/>
      <w:r w:rsidRPr="00247A22">
        <w:rPr>
          <w:rFonts w:ascii="Tahoma" w:eastAsia="Times New Roman" w:hAnsi="Tahoma" w:cs="Tahoma"/>
          <w:i/>
          <w:iCs/>
          <w:color w:val="3D3B39"/>
          <w:lang w:eastAsia="it-IT"/>
        </w:rPr>
        <w:t xml:space="preserve"> boni </w:t>
      </w:r>
      <w:proofErr w:type="spellStart"/>
      <w:r w:rsidRPr="00247A22">
        <w:rPr>
          <w:rFonts w:ascii="Tahoma" w:eastAsia="Times New Roman" w:hAnsi="Tahoma" w:cs="Tahoma"/>
          <w:i/>
          <w:iCs/>
          <w:color w:val="3D3B39"/>
          <w:lang w:eastAsia="it-IT"/>
        </w:rPr>
        <w:t>iuris</w:t>
      </w:r>
      <w:proofErr w:type="spellEnd"/>
      <w:r w:rsidRPr="00694329">
        <w:rPr>
          <w:rFonts w:ascii="Tahoma" w:eastAsia="Times New Roman" w:hAnsi="Tahoma" w:cs="Tahoma"/>
          <w:color w:val="3D3B39"/>
          <w:lang w:eastAsia="it-IT"/>
        </w:rPr>
        <w:t xml:space="preserve">, sia perché può </w:t>
      </w:r>
      <w:r w:rsidRPr="00694329">
        <w:rPr>
          <w:rFonts w:ascii="Tahoma" w:eastAsia="Times New Roman" w:hAnsi="Tahoma" w:cs="Tahoma"/>
          <w:color w:val="3D3B39"/>
          <w:lang w:eastAsia="it-IT"/>
        </w:rPr>
        <w:lastRenderedPageBreak/>
        <w:t xml:space="preserve">ritenersi provato il rischio di un pregiudizio grave e irreparabile per il ricorrente nelle more del giudizio; </w:t>
      </w:r>
    </w:p>
    <w:p w:rsidR="00694329" w:rsidRPr="00694329" w:rsidRDefault="00694329" w:rsidP="00694329">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b/>
          <w:bCs/>
          <w:color w:val="3D3B39"/>
          <w:lang w:eastAsia="it-IT"/>
        </w:rPr>
        <w:t>P.Q.M.</w:t>
      </w:r>
    </w:p>
    <w:p w:rsidR="00694329" w:rsidRDefault="00694329" w:rsidP="00694329">
      <w:pPr>
        <w:spacing w:after="265" w:line="240" w:lineRule="auto"/>
        <w:rPr>
          <w:rFonts w:ascii="Tahoma" w:eastAsia="Times New Roman" w:hAnsi="Tahoma" w:cs="Tahoma"/>
          <w:color w:val="3D3B39"/>
          <w:lang w:eastAsia="it-IT"/>
        </w:rPr>
      </w:pPr>
      <w:r w:rsidRPr="00694329">
        <w:rPr>
          <w:rFonts w:ascii="Tahoma" w:eastAsia="Times New Roman" w:hAnsi="Tahoma" w:cs="Tahoma"/>
          <w:color w:val="3D3B39"/>
          <w:lang w:eastAsia="it-IT"/>
        </w:rPr>
        <w:t xml:space="preserve">Il Consiglio di Stato in sede giurisdizionale (Sezione Quinta), accoglie in parte l'appello (Ricorso numero: 826/2017) e, per l'effetto, in parziale riforma dell'ordinanza impugnata, accoglie l'istanza cautelare in primo grado nei termini e limiti di cui in motivazione. Dispone quanto in motivazione circa la separazione del giudizio inerente la domanda cautelare avverso l’aggiudicazione e la sua possibile riassunzione per errore scusabile. </w:t>
      </w:r>
      <w:r w:rsidRPr="00694329">
        <w:rPr>
          <w:rFonts w:ascii="Tahoma" w:eastAsia="Times New Roman" w:hAnsi="Tahoma" w:cs="Tahoma"/>
          <w:color w:val="3D3B39"/>
          <w:lang w:eastAsia="it-IT"/>
        </w:rPr>
        <w:br/>
        <w:t xml:space="preserve">Si ravvisano giusti motivi per compensare tra le parti le spese della fase cautelare in ragione della complessità e novità delle questioni trattate. </w:t>
      </w:r>
      <w:r w:rsidRPr="00694329">
        <w:rPr>
          <w:rFonts w:ascii="Tahoma" w:eastAsia="Times New Roman" w:hAnsi="Tahoma" w:cs="Tahoma"/>
          <w:color w:val="3D3B39"/>
          <w:lang w:eastAsia="it-IT"/>
        </w:rPr>
        <w:br/>
        <w:t xml:space="preserve">La presente ordinanza sarà eseguita dall'Amministrazione ed è depositata presso la segreteria della Sezione che provvederà a darne comunicazione alle parti. </w:t>
      </w:r>
      <w:r w:rsidRPr="00694329">
        <w:rPr>
          <w:rFonts w:ascii="Tahoma" w:eastAsia="Times New Roman" w:hAnsi="Tahoma" w:cs="Tahoma"/>
          <w:color w:val="3D3B39"/>
          <w:lang w:eastAsia="it-IT"/>
        </w:rPr>
        <w:br/>
        <w:t xml:space="preserve">Così deciso in Roma nella camera di consiglio del giorno 9 marzo 2017 con l'intervento dei magistrati: </w:t>
      </w:r>
      <w:r w:rsidRPr="00694329">
        <w:rPr>
          <w:rFonts w:ascii="Tahoma" w:eastAsia="Times New Roman" w:hAnsi="Tahoma" w:cs="Tahoma"/>
          <w:color w:val="3D3B39"/>
          <w:lang w:eastAsia="it-IT"/>
        </w:rPr>
        <w:br/>
        <w:t xml:space="preserve">Giuseppe Severini, Presidente </w:t>
      </w:r>
      <w:r w:rsidRPr="00694329">
        <w:rPr>
          <w:rFonts w:ascii="Tahoma" w:eastAsia="Times New Roman" w:hAnsi="Tahoma" w:cs="Tahoma"/>
          <w:color w:val="3D3B39"/>
          <w:lang w:eastAsia="it-IT"/>
        </w:rPr>
        <w:br/>
        <w:t xml:space="preserve">Paolo Troiano, Consigliere, Estensore </w:t>
      </w:r>
      <w:r w:rsidRPr="00694329">
        <w:rPr>
          <w:rFonts w:ascii="Tahoma" w:eastAsia="Times New Roman" w:hAnsi="Tahoma" w:cs="Tahoma"/>
          <w:color w:val="3D3B39"/>
          <w:lang w:eastAsia="it-IT"/>
        </w:rPr>
        <w:br/>
        <w:t xml:space="preserve">Paolo Giovanni </w:t>
      </w:r>
      <w:proofErr w:type="spellStart"/>
      <w:r w:rsidRPr="00694329">
        <w:rPr>
          <w:rFonts w:ascii="Tahoma" w:eastAsia="Times New Roman" w:hAnsi="Tahoma" w:cs="Tahoma"/>
          <w:color w:val="3D3B39"/>
          <w:lang w:eastAsia="it-IT"/>
        </w:rPr>
        <w:t>Nicolo'</w:t>
      </w:r>
      <w:proofErr w:type="spellEnd"/>
      <w:r w:rsidRPr="00694329">
        <w:rPr>
          <w:rFonts w:ascii="Tahoma" w:eastAsia="Times New Roman" w:hAnsi="Tahoma" w:cs="Tahoma"/>
          <w:color w:val="3D3B39"/>
          <w:lang w:eastAsia="it-IT"/>
        </w:rPr>
        <w:t xml:space="preserve"> Lotti, Consigliere </w:t>
      </w:r>
      <w:r w:rsidRPr="00694329">
        <w:rPr>
          <w:rFonts w:ascii="Tahoma" w:eastAsia="Times New Roman" w:hAnsi="Tahoma" w:cs="Tahoma"/>
          <w:color w:val="3D3B39"/>
          <w:lang w:eastAsia="it-IT"/>
        </w:rPr>
        <w:br/>
        <w:t xml:space="preserve">Raffaele Prosperi, Consigliere </w:t>
      </w:r>
      <w:r w:rsidRPr="00694329">
        <w:rPr>
          <w:rFonts w:ascii="Tahoma" w:eastAsia="Times New Roman" w:hAnsi="Tahoma" w:cs="Tahoma"/>
          <w:color w:val="3D3B39"/>
          <w:lang w:eastAsia="it-IT"/>
        </w:rPr>
        <w:br/>
        <w:t xml:space="preserve">Valerio Perotti, Consigliere </w:t>
      </w: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Default="00247A22" w:rsidP="00694329">
      <w:pPr>
        <w:spacing w:after="265" w:line="240" w:lineRule="auto"/>
        <w:rPr>
          <w:rFonts w:ascii="Tahoma" w:eastAsia="Times New Roman" w:hAnsi="Tahoma" w:cs="Tahoma"/>
          <w:color w:val="3D3B39"/>
          <w:lang w:eastAsia="it-IT"/>
        </w:rPr>
      </w:pPr>
    </w:p>
    <w:p w:rsidR="00247A22" w:rsidRPr="00247A22" w:rsidRDefault="00247A22" w:rsidP="00247A22">
      <w:pPr>
        <w:spacing w:after="265" w:line="240" w:lineRule="auto"/>
        <w:jc w:val="right"/>
        <w:rPr>
          <w:rFonts w:ascii="Tahoma" w:eastAsia="Times New Roman" w:hAnsi="Tahoma" w:cs="Tahoma"/>
          <w:color w:val="3D3B39"/>
          <w:lang w:eastAsia="it-IT"/>
        </w:rPr>
      </w:pPr>
      <w:r w:rsidRPr="00247A22">
        <w:rPr>
          <w:rFonts w:ascii="Tahoma" w:eastAsia="Times New Roman" w:hAnsi="Tahoma" w:cs="Tahoma"/>
          <w:color w:val="3D3B39"/>
          <w:lang w:eastAsia="it-IT"/>
        </w:rPr>
        <w:br/>
        <w:t xml:space="preserve">N. 00226/2017 REG.PROV.COLL. </w:t>
      </w:r>
      <w:r w:rsidRPr="00247A22">
        <w:rPr>
          <w:rFonts w:ascii="Tahoma" w:eastAsia="Times New Roman" w:hAnsi="Tahoma" w:cs="Tahoma"/>
          <w:color w:val="3D3B39"/>
          <w:lang w:eastAsia="it-IT"/>
        </w:rPr>
        <w:br/>
        <w:t>N. 00823/2016 REG.RIC.</w:t>
      </w:r>
    </w:p>
    <w:p w:rsidR="00247A22" w:rsidRPr="00247A22" w:rsidRDefault="00247A22" w:rsidP="00247A22">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b/>
          <w:bCs/>
          <w:color w:val="3D3B39"/>
          <w:lang w:eastAsia="it-IT"/>
        </w:rPr>
        <w:t>REPUBBLICA ITALIANA</w:t>
      </w:r>
      <w:r w:rsidRPr="00247A22">
        <w:rPr>
          <w:rFonts w:ascii="Tahoma" w:eastAsia="Times New Roman" w:hAnsi="Tahoma" w:cs="Tahoma"/>
          <w:color w:val="3D3B39"/>
          <w:lang w:eastAsia="it-IT"/>
        </w:rPr>
        <w:t xml:space="preserve"> </w:t>
      </w:r>
      <w:r w:rsidRPr="00247A22">
        <w:rPr>
          <w:rFonts w:ascii="Tahoma" w:eastAsia="Times New Roman" w:hAnsi="Tahoma" w:cs="Tahoma"/>
          <w:color w:val="3D3B39"/>
          <w:lang w:eastAsia="it-IT"/>
        </w:rPr>
        <w:br/>
        <w:t xml:space="preserve">IN NOME DEL POPOLO ITALIANO </w:t>
      </w:r>
      <w:r w:rsidRPr="00247A22">
        <w:rPr>
          <w:rFonts w:ascii="Tahoma" w:eastAsia="Times New Roman" w:hAnsi="Tahoma" w:cs="Tahoma"/>
          <w:color w:val="3D3B39"/>
          <w:lang w:eastAsia="it-IT"/>
        </w:rPr>
        <w:br/>
        <w:t xml:space="preserve">Il Tribunale Amministrativo Regionale per la Emilia Romagna </w:t>
      </w:r>
      <w:r w:rsidRPr="00247A22">
        <w:rPr>
          <w:rFonts w:ascii="Tahoma" w:eastAsia="Times New Roman" w:hAnsi="Tahoma" w:cs="Tahoma"/>
          <w:color w:val="3D3B39"/>
          <w:lang w:eastAsia="it-IT"/>
        </w:rPr>
        <w:br/>
        <w:t xml:space="preserve">(Sezione Seconda) </w:t>
      </w:r>
    </w:p>
    <w:p w:rsidR="00247A22" w:rsidRPr="00247A22" w:rsidRDefault="00247A22" w:rsidP="00247A22">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color w:val="3D3B39"/>
          <w:lang w:eastAsia="it-IT"/>
        </w:rPr>
        <w:t xml:space="preserve">ha pronunciato la presente </w:t>
      </w:r>
    </w:p>
    <w:p w:rsidR="00247A22" w:rsidRPr="00247A22" w:rsidRDefault="00247A22" w:rsidP="00247A22">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b/>
          <w:bCs/>
          <w:color w:val="3D3B39"/>
          <w:lang w:eastAsia="it-IT"/>
        </w:rPr>
        <w:t>SENTENZA</w:t>
      </w:r>
    </w:p>
    <w:p w:rsidR="00247A22" w:rsidRPr="00247A22" w:rsidRDefault="00247A22" w:rsidP="00247A22">
      <w:pPr>
        <w:spacing w:after="265" w:line="240" w:lineRule="auto"/>
        <w:rPr>
          <w:rFonts w:ascii="Tahoma" w:eastAsia="Times New Roman" w:hAnsi="Tahoma" w:cs="Tahoma"/>
          <w:color w:val="3D3B39"/>
          <w:lang w:eastAsia="it-IT"/>
        </w:rPr>
      </w:pPr>
      <w:r w:rsidRPr="00247A22">
        <w:rPr>
          <w:rFonts w:ascii="Tahoma" w:eastAsia="Times New Roman" w:hAnsi="Tahoma" w:cs="Tahoma"/>
          <w:color w:val="3D3B39"/>
          <w:lang w:eastAsia="it-IT"/>
        </w:rPr>
        <w:t>sul ricorso numero di registro generale 823 del 2016, integrato da motivi aggiunti, proposto da: </w:t>
      </w:r>
      <w:r w:rsidRPr="00247A22">
        <w:rPr>
          <w:rFonts w:ascii="Tahoma" w:eastAsia="Times New Roman" w:hAnsi="Tahoma" w:cs="Tahoma"/>
          <w:color w:val="3D3B39"/>
          <w:lang w:eastAsia="it-IT"/>
        </w:rPr>
        <w:br/>
        <w:t xml:space="preserve">F.C. San Lazzaro Calcio A.S.D., in persona del legale rappresentante </w:t>
      </w:r>
      <w:proofErr w:type="spellStart"/>
      <w:r w:rsidRPr="00247A22">
        <w:rPr>
          <w:rFonts w:ascii="Tahoma" w:eastAsia="Times New Roman" w:hAnsi="Tahoma" w:cs="Tahoma"/>
          <w:color w:val="3D3B39"/>
          <w:lang w:eastAsia="it-IT"/>
        </w:rPr>
        <w:t>p.t.</w:t>
      </w:r>
      <w:proofErr w:type="spellEnd"/>
      <w:r w:rsidRPr="00247A22">
        <w:rPr>
          <w:rFonts w:ascii="Tahoma" w:eastAsia="Times New Roman" w:hAnsi="Tahoma" w:cs="Tahoma"/>
          <w:color w:val="3D3B39"/>
          <w:lang w:eastAsia="it-IT"/>
        </w:rPr>
        <w:t xml:space="preserve">, rappresentato e difeso dall'avvocato Stefano </w:t>
      </w:r>
      <w:proofErr w:type="spellStart"/>
      <w:r w:rsidRPr="00247A22">
        <w:rPr>
          <w:rFonts w:ascii="Tahoma" w:eastAsia="Times New Roman" w:hAnsi="Tahoma" w:cs="Tahoma"/>
          <w:color w:val="3D3B39"/>
          <w:lang w:eastAsia="it-IT"/>
        </w:rPr>
        <w:t>Zunarelli</w:t>
      </w:r>
      <w:proofErr w:type="spellEnd"/>
      <w:r w:rsidRPr="00247A22">
        <w:rPr>
          <w:rFonts w:ascii="Tahoma" w:eastAsia="Times New Roman" w:hAnsi="Tahoma" w:cs="Tahoma"/>
          <w:color w:val="3D3B39"/>
          <w:lang w:eastAsia="it-IT"/>
        </w:rPr>
        <w:t xml:space="preserve"> C.F. ZNRSFN55S23A944F, con domicilio eletto presso il suo studio in Bologna, via Santo Stefano 43; </w:t>
      </w:r>
      <w:r w:rsidRPr="00247A22">
        <w:rPr>
          <w:rFonts w:ascii="Tahoma" w:eastAsia="Times New Roman" w:hAnsi="Tahoma" w:cs="Tahoma"/>
          <w:color w:val="3D3B39"/>
          <w:lang w:eastAsia="it-IT"/>
        </w:rPr>
        <w:br/>
        <w:t xml:space="preserve">contro </w:t>
      </w:r>
      <w:r w:rsidRPr="00247A22">
        <w:rPr>
          <w:rFonts w:ascii="Tahoma" w:eastAsia="Times New Roman" w:hAnsi="Tahoma" w:cs="Tahoma"/>
          <w:color w:val="3D3B39"/>
          <w:lang w:eastAsia="it-IT"/>
        </w:rPr>
        <w:br/>
        <w:t xml:space="preserve">Comune di San Lazzaro di Savena, in persona del legale rappresentante </w:t>
      </w:r>
      <w:proofErr w:type="spellStart"/>
      <w:r w:rsidRPr="00247A22">
        <w:rPr>
          <w:rFonts w:ascii="Tahoma" w:eastAsia="Times New Roman" w:hAnsi="Tahoma" w:cs="Tahoma"/>
          <w:color w:val="3D3B39"/>
          <w:lang w:eastAsia="it-IT"/>
        </w:rPr>
        <w:t>p.t.</w:t>
      </w:r>
      <w:proofErr w:type="spellEnd"/>
      <w:r w:rsidRPr="00247A22">
        <w:rPr>
          <w:rFonts w:ascii="Tahoma" w:eastAsia="Times New Roman" w:hAnsi="Tahoma" w:cs="Tahoma"/>
          <w:color w:val="3D3B39"/>
          <w:lang w:eastAsia="it-IT"/>
        </w:rPr>
        <w:t xml:space="preserve">, rappresentato e difeso dall'avvocato Franco </w:t>
      </w:r>
      <w:proofErr w:type="spellStart"/>
      <w:r w:rsidRPr="00247A22">
        <w:rPr>
          <w:rFonts w:ascii="Tahoma" w:eastAsia="Times New Roman" w:hAnsi="Tahoma" w:cs="Tahoma"/>
          <w:color w:val="3D3B39"/>
          <w:lang w:eastAsia="it-IT"/>
        </w:rPr>
        <w:t>Mastragostino</w:t>
      </w:r>
      <w:proofErr w:type="spellEnd"/>
      <w:r w:rsidRPr="00247A22">
        <w:rPr>
          <w:rFonts w:ascii="Tahoma" w:eastAsia="Times New Roman" w:hAnsi="Tahoma" w:cs="Tahoma"/>
          <w:color w:val="3D3B39"/>
          <w:lang w:eastAsia="it-IT"/>
        </w:rPr>
        <w:t xml:space="preserve"> C.F. MSTFNC47E07A059Q, con domicilio eletto presso il suo studio in Bologna, p.zza Aldrovandi 3; </w:t>
      </w:r>
      <w:r w:rsidRPr="00247A22">
        <w:rPr>
          <w:rFonts w:ascii="Tahoma" w:eastAsia="Times New Roman" w:hAnsi="Tahoma" w:cs="Tahoma"/>
          <w:color w:val="3D3B39"/>
          <w:lang w:eastAsia="it-IT"/>
        </w:rPr>
        <w:br/>
        <w:t xml:space="preserve">nei confronti di </w:t>
      </w:r>
      <w:r w:rsidRPr="00247A22">
        <w:rPr>
          <w:rFonts w:ascii="Tahoma" w:eastAsia="Times New Roman" w:hAnsi="Tahoma" w:cs="Tahoma"/>
          <w:color w:val="3D3B39"/>
          <w:lang w:eastAsia="it-IT"/>
        </w:rPr>
        <w:br/>
        <w:t xml:space="preserve">Real San Lazzaro </w:t>
      </w:r>
      <w:proofErr w:type="spellStart"/>
      <w:r w:rsidRPr="00247A22">
        <w:rPr>
          <w:rFonts w:ascii="Tahoma" w:eastAsia="Times New Roman" w:hAnsi="Tahoma" w:cs="Tahoma"/>
          <w:color w:val="3D3B39"/>
          <w:lang w:eastAsia="it-IT"/>
        </w:rPr>
        <w:t>Asd</w:t>
      </w:r>
      <w:proofErr w:type="spellEnd"/>
      <w:r w:rsidRPr="00247A22">
        <w:rPr>
          <w:rFonts w:ascii="Tahoma" w:eastAsia="Times New Roman" w:hAnsi="Tahoma" w:cs="Tahoma"/>
          <w:color w:val="3D3B39"/>
          <w:lang w:eastAsia="it-IT"/>
        </w:rPr>
        <w:t xml:space="preserve">, Carlo </w:t>
      </w:r>
      <w:proofErr w:type="spellStart"/>
      <w:r w:rsidRPr="00247A22">
        <w:rPr>
          <w:rFonts w:ascii="Tahoma" w:eastAsia="Times New Roman" w:hAnsi="Tahoma" w:cs="Tahoma"/>
          <w:color w:val="3D3B39"/>
          <w:lang w:eastAsia="it-IT"/>
        </w:rPr>
        <w:t>Stanghellini</w:t>
      </w:r>
      <w:proofErr w:type="spellEnd"/>
      <w:r w:rsidRPr="00247A22">
        <w:rPr>
          <w:rFonts w:ascii="Tahoma" w:eastAsia="Times New Roman" w:hAnsi="Tahoma" w:cs="Tahoma"/>
          <w:color w:val="3D3B39"/>
          <w:lang w:eastAsia="it-IT"/>
        </w:rPr>
        <w:t xml:space="preserve"> non costituiti in giudizio; </w:t>
      </w:r>
      <w:r w:rsidRPr="00247A22">
        <w:rPr>
          <w:rFonts w:ascii="Tahoma" w:eastAsia="Times New Roman" w:hAnsi="Tahoma" w:cs="Tahoma"/>
          <w:color w:val="3D3B39"/>
          <w:lang w:eastAsia="it-IT"/>
        </w:rPr>
        <w:br/>
        <w:t xml:space="preserve">per l'annullamento </w:t>
      </w:r>
      <w:r w:rsidRPr="00247A22">
        <w:rPr>
          <w:rFonts w:ascii="Tahoma" w:eastAsia="Times New Roman" w:hAnsi="Tahoma" w:cs="Tahoma"/>
          <w:color w:val="3D3B39"/>
          <w:lang w:eastAsia="it-IT"/>
        </w:rPr>
        <w:br/>
        <w:t xml:space="preserve">della delibera di Giunta comunale del Comune di San Lazzaro n.118 del 30 giugno 2016 che ha deliberato le linee di indirizzo per la concessione della gestione dell'impianto sportivo "Stadio Comunale" ubicato a San Lazzaro di Savena via Kennedy 61; </w:t>
      </w:r>
      <w:r w:rsidRPr="00247A22">
        <w:rPr>
          <w:rFonts w:ascii="Tahoma" w:eastAsia="Times New Roman" w:hAnsi="Tahoma" w:cs="Tahoma"/>
          <w:color w:val="3D3B39"/>
          <w:lang w:eastAsia="it-IT"/>
        </w:rPr>
        <w:br/>
        <w:t>della determina dirigenziale n. 543 del 15 luglio 2016 del Comune di San Lazzaro di Savena e dei relativi allegati, in particolare dell'</w:t>
      </w:r>
      <w:proofErr w:type="spellStart"/>
      <w:r w:rsidRPr="00247A22">
        <w:rPr>
          <w:rFonts w:ascii="Tahoma" w:eastAsia="Times New Roman" w:hAnsi="Tahoma" w:cs="Tahoma"/>
          <w:color w:val="3D3B39"/>
          <w:lang w:eastAsia="it-IT"/>
        </w:rPr>
        <w:t>all</w:t>
      </w:r>
      <w:proofErr w:type="spellEnd"/>
      <w:r w:rsidRPr="00247A22">
        <w:rPr>
          <w:rFonts w:ascii="Tahoma" w:eastAsia="Times New Roman" w:hAnsi="Tahoma" w:cs="Tahoma"/>
          <w:color w:val="3D3B39"/>
          <w:lang w:eastAsia="it-IT"/>
        </w:rPr>
        <w:t>. A) bando di gara per la concessione in uso dell'impianto sportivo "Stadio Comunale" ubicato a S. Lazzaro di Savena, V. Kennedy 61 e dell'</w:t>
      </w:r>
      <w:proofErr w:type="spellStart"/>
      <w:r w:rsidRPr="00247A22">
        <w:rPr>
          <w:rFonts w:ascii="Tahoma" w:eastAsia="Times New Roman" w:hAnsi="Tahoma" w:cs="Tahoma"/>
          <w:color w:val="3D3B39"/>
          <w:lang w:eastAsia="it-IT"/>
        </w:rPr>
        <w:t>all</w:t>
      </w:r>
      <w:proofErr w:type="spellEnd"/>
      <w:r w:rsidRPr="00247A22">
        <w:rPr>
          <w:rFonts w:ascii="Tahoma" w:eastAsia="Times New Roman" w:hAnsi="Tahoma" w:cs="Tahoma"/>
          <w:color w:val="3D3B39"/>
          <w:lang w:eastAsia="it-IT"/>
        </w:rPr>
        <w:t xml:space="preserve">. B) capitolato d'oneri per la concessione in uso dell'impianto sportivo Stadio Kennedy ubicati in San Lazzaro di Savena via </w:t>
      </w:r>
      <w:proofErr w:type="spellStart"/>
      <w:r w:rsidRPr="00247A22">
        <w:rPr>
          <w:rFonts w:ascii="Tahoma" w:eastAsia="Times New Roman" w:hAnsi="Tahoma" w:cs="Tahoma"/>
          <w:color w:val="3D3B39"/>
          <w:lang w:eastAsia="it-IT"/>
        </w:rPr>
        <w:t>Jussi</w:t>
      </w:r>
      <w:proofErr w:type="spellEnd"/>
      <w:r w:rsidRPr="00247A22">
        <w:rPr>
          <w:rFonts w:ascii="Tahoma" w:eastAsia="Times New Roman" w:hAnsi="Tahoma" w:cs="Tahoma"/>
          <w:color w:val="3D3B39"/>
          <w:lang w:eastAsia="it-IT"/>
        </w:rPr>
        <w:t xml:space="preserve">; </w:t>
      </w:r>
      <w:r w:rsidRPr="00247A22">
        <w:rPr>
          <w:rFonts w:ascii="Tahoma" w:eastAsia="Times New Roman" w:hAnsi="Tahoma" w:cs="Tahoma"/>
          <w:color w:val="3D3B39"/>
          <w:lang w:eastAsia="it-IT"/>
        </w:rPr>
        <w:br/>
        <w:t xml:space="preserve">della determina dirigenziale n.652 del 23 agosto 2016 del Comune di San Lazzaro di Savena; </w:t>
      </w:r>
      <w:r w:rsidRPr="00247A22">
        <w:rPr>
          <w:rFonts w:ascii="Tahoma" w:eastAsia="Times New Roman" w:hAnsi="Tahoma" w:cs="Tahoma"/>
          <w:color w:val="3D3B39"/>
          <w:lang w:eastAsia="it-IT"/>
        </w:rPr>
        <w:br/>
        <w:t xml:space="preserve">della determina dirigenziale n.740 del 26 settembre 2016 del Comune di San Lazzaro di Savena (di cui è stata data comunicazione alla F.C. San Lazzaro Calcio A. s.d. in data 26 settembre a mezzo di posta elettronica certificata con cui il Comune ha provveduto ad aggiudicare definitivamente alla Real San Lazzaro la gara ad evidenza pubblica per la concessione in uso dell'impianto sportivo "Stadio Comunale "ubicato a S. Lazzaro di Savena via Kennedy n.61); </w:t>
      </w:r>
      <w:r w:rsidRPr="00247A22">
        <w:rPr>
          <w:rFonts w:ascii="Tahoma" w:eastAsia="Times New Roman" w:hAnsi="Tahoma" w:cs="Tahoma"/>
          <w:color w:val="3D3B39"/>
          <w:lang w:eastAsia="it-IT"/>
        </w:rPr>
        <w:br/>
        <w:t xml:space="preserve">dei verbali della prima seduta di gara, di data 25 agosto 2016 della seconda seduta di gara, di data </w:t>
      </w:r>
      <w:r w:rsidRPr="00247A22">
        <w:rPr>
          <w:rFonts w:ascii="Tahoma" w:eastAsia="Times New Roman" w:hAnsi="Tahoma" w:cs="Tahoma"/>
          <w:color w:val="3D3B39"/>
          <w:lang w:eastAsia="it-IT"/>
        </w:rPr>
        <w:lastRenderedPageBreak/>
        <w:t xml:space="preserve">29 agosto 2016 della terza seduta di gara, di data 30 agosto 2016 e della quarta seduta di gara, di data 30 agosto 2016; </w:t>
      </w:r>
      <w:r w:rsidRPr="00247A22">
        <w:rPr>
          <w:rFonts w:ascii="Tahoma" w:eastAsia="Times New Roman" w:hAnsi="Tahoma" w:cs="Tahoma"/>
          <w:color w:val="3D3B39"/>
          <w:lang w:eastAsia="it-IT"/>
        </w:rPr>
        <w:br/>
        <w:t xml:space="preserve">della comunicazione del Comune di San Lazzaro di Savena del 13 ottobre 2016 Prot.40318 con cui il Comune riscontrava l'istanza di accesso agli atti della San Lazzaro Calcio; </w:t>
      </w:r>
      <w:r w:rsidRPr="00247A22">
        <w:rPr>
          <w:rFonts w:ascii="Tahoma" w:eastAsia="Times New Roman" w:hAnsi="Tahoma" w:cs="Tahoma"/>
          <w:color w:val="3D3B39"/>
          <w:lang w:eastAsia="it-IT"/>
        </w:rPr>
        <w:br/>
        <w:t xml:space="preserve">del verbale di presa visione dello stato di fatto dell'impianto sportivo Stadio Comunale ubicato a San Lazzaro di Savena via Kennedy 61 e contestuale consegna delle chiavi di data 10 ottobre 2016 prot.39577/2016; </w:t>
      </w:r>
      <w:r w:rsidRPr="00247A22">
        <w:rPr>
          <w:rFonts w:ascii="Tahoma" w:eastAsia="Times New Roman" w:hAnsi="Tahoma" w:cs="Tahoma"/>
          <w:color w:val="3D3B39"/>
          <w:lang w:eastAsia="it-IT"/>
        </w:rPr>
        <w:br/>
        <w:t xml:space="preserve">nonché per l'annullamento di tutti gli ulteriori provvedimenti del Comune, e il contratto per la concessione in uso con la Real San Lazzaro; </w:t>
      </w:r>
      <w:r w:rsidRPr="00247A22">
        <w:rPr>
          <w:rFonts w:ascii="Tahoma" w:eastAsia="Times New Roman" w:hAnsi="Tahoma" w:cs="Tahoma"/>
          <w:color w:val="3D3B39"/>
          <w:lang w:eastAsia="it-IT"/>
        </w:rPr>
        <w:br/>
        <w:t xml:space="preserve">nonché </w:t>
      </w:r>
      <w:r w:rsidRPr="00247A22">
        <w:rPr>
          <w:rFonts w:ascii="Tahoma" w:eastAsia="Times New Roman" w:hAnsi="Tahoma" w:cs="Tahoma"/>
          <w:color w:val="3D3B39"/>
          <w:lang w:eastAsia="it-IT"/>
        </w:rPr>
        <w:br/>
        <w:t xml:space="preserve">qualora stipulato in pendenza di ricorso, per la dichiarazione di inefficacia del contratto tra il Comune e la Real San Lazzaro, con subentro della ricorrente nello stesso ovvero, in subordine, per il risarcimento del danno per equivalente ai sensi dell’art. 124/1 </w:t>
      </w:r>
      <w:proofErr w:type="spellStart"/>
      <w:r w:rsidRPr="00247A22">
        <w:rPr>
          <w:rFonts w:ascii="Tahoma" w:eastAsia="Times New Roman" w:hAnsi="Tahoma" w:cs="Tahoma"/>
          <w:color w:val="3D3B39"/>
          <w:lang w:eastAsia="it-IT"/>
        </w:rPr>
        <w:t>c.p.a</w:t>
      </w:r>
      <w:proofErr w:type="spellEnd"/>
      <w:r w:rsidRPr="00247A22">
        <w:rPr>
          <w:rFonts w:ascii="Tahoma" w:eastAsia="Times New Roman" w:hAnsi="Tahoma" w:cs="Tahoma"/>
          <w:color w:val="3D3B39"/>
          <w:lang w:eastAsia="it-IT"/>
        </w:rPr>
        <w:t xml:space="preserve">. </w:t>
      </w:r>
    </w:p>
    <w:p w:rsidR="00247A22" w:rsidRPr="00247A22" w:rsidRDefault="00247A22" w:rsidP="00247A22">
      <w:pPr>
        <w:spacing w:after="265" w:line="240" w:lineRule="auto"/>
        <w:rPr>
          <w:rFonts w:ascii="Tahoma" w:eastAsia="Times New Roman" w:hAnsi="Tahoma" w:cs="Tahoma"/>
          <w:color w:val="3D3B39"/>
          <w:lang w:eastAsia="it-IT"/>
        </w:rPr>
      </w:pPr>
      <w:r w:rsidRPr="00247A22">
        <w:rPr>
          <w:rFonts w:ascii="Tahoma" w:eastAsia="Times New Roman" w:hAnsi="Tahoma" w:cs="Tahoma"/>
          <w:color w:val="3D3B39"/>
          <w:lang w:eastAsia="it-IT"/>
        </w:rPr>
        <w:t xml:space="preserve">Visti il ricorso, i motivi aggiunti e i relativi allegati; </w:t>
      </w:r>
      <w:r w:rsidRPr="00247A22">
        <w:rPr>
          <w:rFonts w:ascii="Tahoma" w:eastAsia="Times New Roman" w:hAnsi="Tahoma" w:cs="Tahoma"/>
          <w:color w:val="3D3B39"/>
          <w:lang w:eastAsia="it-IT"/>
        </w:rPr>
        <w:br/>
        <w:t xml:space="preserve">Visto l'atto di costituzione in giudizio di Comune di San Lazzaro di Savena; </w:t>
      </w:r>
      <w:r w:rsidRPr="00247A22">
        <w:rPr>
          <w:rFonts w:ascii="Tahoma" w:eastAsia="Times New Roman" w:hAnsi="Tahoma" w:cs="Tahoma"/>
          <w:color w:val="3D3B39"/>
          <w:lang w:eastAsia="it-IT"/>
        </w:rPr>
        <w:br/>
        <w:t xml:space="preserve">Viste le memorie difensive; </w:t>
      </w:r>
      <w:r w:rsidRPr="00247A22">
        <w:rPr>
          <w:rFonts w:ascii="Tahoma" w:eastAsia="Times New Roman" w:hAnsi="Tahoma" w:cs="Tahoma"/>
          <w:color w:val="3D3B39"/>
          <w:lang w:eastAsia="it-IT"/>
        </w:rPr>
        <w:br/>
        <w:t xml:space="preserve">Visti tutti gli atti della causa; </w:t>
      </w:r>
      <w:r w:rsidRPr="00247A22">
        <w:rPr>
          <w:rFonts w:ascii="Tahoma" w:eastAsia="Times New Roman" w:hAnsi="Tahoma" w:cs="Tahoma"/>
          <w:color w:val="3D3B39"/>
          <w:lang w:eastAsia="it-IT"/>
        </w:rPr>
        <w:br/>
        <w:t xml:space="preserve">Relatore nell'udienza pubblica del giorno 28 febbraio 2017 la dott.ssa Maria Ada Russo e uditi per le parti i difensori come specificato nel verbale; </w:t>
      </w:r>
      <w:r w:rsidRPr="00247A22">
        <w:rPr>
          <w:rFonts w:ascii="Tahoma" w:eastAsia="Times New Roman" w:hAnsi="Tahoma" w:cs="Tahoma"/>
          <w:color w:val="3D3B39"/>
          <w:lang w:eastAsia="it-IT"/>
        </w:rPr>
        <w:br/>
        <w:t xml:space="preserve">Ritenuto e considerato in fatto e diritto quanto segue. </w:t>
      </w:r>
    </w:p>
    <w:p w:rsidR="00247A22" w:rsidRPr="00247A22" w:rsidRDefault="00247A22" w:rsidP="00247A22">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b/>
          <w:bCs/>
          <w:color w:val="3D3B39"/>
          <w:lang w:eastAsia="it-IT"/>
        </w:rPr>
        <w:t>FATTO e DIRITTO</w:t>
      </w:r>
    </w:p>
    <w:p w:rsidR="00247A22" w:rsidRPr="00247A22" w:rsidRDefault="00247A22" w:rsidP="00247A22">
      <w:pPr>
        <w:spacing w:after="265" w:line="240" w:lineRule="auto"/>
        <w:rPr>
          <w:rFonts w:ascii="Tahoma" w:eastAsia="Times New Roman" w:hAnsi="Tahoma" w:cs="Tahoma"/>
          <w:color w:val="3D3B39"/>
          <w:lang w:eastAsia="it-IT"/>
        </w:rPr>
      </w:pPr>
      <w:r w:rsidRPr="00247A22">
        <w:rPr>
          <w:rFonts w:ascii="Tahoma" w:eastAsia="Times New Roman" w:hAnsi="Tahoma" w:cs="Tahoma"/>
          <w:color w:val="3D3B39"/>
          <w:lang w:eastAsia="it-IT"/>
        </w:rPr>
        <w:t xml:space="preserve">Con il ricorso in epigrafe è stato chiesto l'annullamento, previa sospensione dell'efficacia, dei seguenti atti : </w:t>
      </w:r>
      <w:r w:rsidRPr="00247A22">
        <w:rPr>
          <w:rFonts w:ascii="Tahoma" w:eastAsia="Times New Roman" w:hAnsi="Tahoma" w:cs="Tahoma"/>
          <w:color w:val="3D3B39"/>
          <w:lang w:eastAsia="it-IT"/>
        </w:rPr>
        <w:br/>
        <w:t xml:space="preserve">a). della delibera di Giunta comunale del Comune di San Lazzaro n.118 del 30 giugno 2016 che ha deliberato le linee di indirizzo per la concessione della gestione dell'impianto sportivo "Stadio Comunale" ubicato a San Lazzaro di Savena, via Kennedy 61; </w:t>
      </w:r>
      <w:r w:rsidRPr="00247A22">
        <w:rPr>
          <w:rFonts w:ascii="Tahoma" w:eastAsia="Times New Roman" w:hAnsi="Tahoma" w:cs="Tahoma"/>
          <w:color w:val="3D3B39"/>
          <w:lang w:eastAsia="it-IT"/>
        </w:rPr>
        <w:br/>
        <w:t>b). della determina dirigenziale n.543 del 15 luglio 2016 del Comune di San Lazzaro di Savena e dei relativi allegati, in particolare dell'</w:t>
      </w:r>
      <w:proofErr w:type="spellStart"/>
      <w:r w:rsidRPr="00247A22">
        <w:rPr>
          <w:rFonts w:ascii="Tahoma" w:eastAsia="Times New Roman" w:hAnsi="Tahoma" w:cs="Tahoma"/>
          <w:color w:val="3D3B39"/>
          <w:lang w:eastAsia="it-IT"/>
        </w:rPr>
        <w:t>all</w:t>
      </w:r>
      <w:proofErr w:type="spellEnd"/>
      <w:r w:rsidRPr="00247A22">
        <w:rPr>
          <w:rFonts w:ascii="Tahoma" w:eastAsia="Times New Roman" w:hAnsi="Tahoma" w:cs="Tahoma"/>
          <w:color w:val="3D3B39"/>
          <w:lang w:eastAsia="it-IT"/>
        </w:rPr>
        <w:t>. A) bando di gara per la concessione in uso dell'impianto sportivo "Stadio Comunale" ubicato a S. Lazzaro di Savena, V. Kennedy 61 e dell'</w:t>
      </w:r>
      <w:proofErr w:type="spellStart"/>
      <w:r w:rsidRPr="00247A22">
        <w:rPr>
          <w:rFonts w:ascii="Tahoma" w:eastAsia="Times New Roman" w:hAnsi="Tahoma" w:cs="Tahoma"/>
          <w:color w:val="3D3B39"/>
          <w:lang w:eastAsia="it-IT"/>
        </w:rPr>
        <w:t>all</w:t>
      </w:r>
      <w:proofErr w:type="spellEnd"/>
      <w:r w:rsidRPr="00247A22">
        <w:rPr>
          <w:rFonts w:ascii="Tahoma" w:eastAsia="Times New Roman" w:hAnsi="Tahoma" w:cs="Tahoma"/>
          <w:color w:val="3D3B39"/>
          <w:lang w:eastAsia="it-IT"/>
        </w:rPr>
        <w:t xml:space="preserve">. B) capitolato d'oneri per la concessione in uso dell'impianto sportivo Stadio Kennedy ubicati in San Lazzaro di Savena via </w:t>
      </w:r>
      <w:proofErr w:type="spellStart"/>
      <w:r w:rsidRPr="00247A22">
        <w:rPr>
          <w:rFonts w:ascii="Tahoma" w:eastAsia="Times New Roman" w:hAnsi="Tahoma" w:cs="Tahoma"/>
          <w:color w:val="3D3B39"/>
          <w:lang w:eastAsia="it-IT"/>
        </w:rPr>
        <w:t>Jussi</w:t>
      </w:r>
      <w:proofErr w:type="spellEnd"/>
      <w:r w:rsidRPr="00247A22">
        <w:rPr>
          <w:rFonts w:ascii="Tahoma" w:eastAsia="Times New Roman" w:hAnsi="Tahoma" w:cs="Tahoma"/>
          <w:color w:val="3D3B39"/>
          <w:lang w:eastAsia="it-IT"/>
        </w:rPr>
        <w:t xml:space="preserve">; </w:t>
      </w:r>
      <w:r w:rsidRPr="00247A22">
        <w:rPr>
          <w:rFonts w:ascii="Tahoma" w:eastAsia="Times New Roman" w:hAnsi="Tahoma" w:cs="Tahoma"/>
          <w:color w:val="3D3B39"/>
          <w:lang w:eastAsia="it-IT"/>
        </w:rPr>
        <w:br/>
        <w:t xml:space="preserve">c). della determina dirigenziale n.652 del 23 agosto 2016 del Comune di San Lazzaro di Savena; </w:t>
      </w:r>
      <w:r w:rsidRPr="00247A22">
        <w:rPr>
          <w:rFonts w:ascii="Tahoma" w:eastAsia="Times New Roman" w:hAnsi="Tahoma" w:cs="Tahoma"/>
          <w:color w:val="3D3B39"/>
          <w:lang w:eastAsia="it-IT"/>
        </w:rPr>
        <w:br/>
        <w:t xml:space="preserve">d). della determina dirigenziale n.740 del 26 settembre 2016 del Comune di San Lazzaro di Savena (di cui è stata data comunicazione alla F.C. San Lazzaro Calcio A. s.d. in data 26 settembre a mezzo di posta elettronica certificata) con cui il Comune ha provveduto ad aggiudicare definitivamente alla Real San Lazzaro la gara ad evidenza pubblica per la concessione in uso dell'impianto sportivo "Stadio Comunale "ubicato a S. Lazzaro di Savena via Kennedy n.61; </w:t>
      </w:r>
      <w:r w:rsidRPr="00247A22">
        <w:rPr>
          <w:rFonts w:ascii="Tahoma" w:eastAsia="Times New Roman" w:hAnsi="Tahoma" w:cs="Tahoma"/>
          <w:color w:val="3D3B39"/>
          <w:lang w:eastAsia="it-IT"/>
        </w:rPr>
        <w:br/>
        <w:t xml:space="preserve">e). dei verbali della prima seduta di gara, di data 25 agosto 2016; della seconda seduta di gara, di data 29 agosto 2016; della terza seduta di gara, di data 30 agosto 2016; e della quarta seduta di gara, di data 30 agosto 2016; </w:t>
      </w:r>
      <w:r w:rsidRPr="00247A22">
        <w:rPr>
          <w:rFonts w:ascii="Tahoma" w:eastAsia="Times New Roman" w:hAnsi="Tahoma" w:cs="Tahoma"/>
          <w:color w:val="3D3B39"/>
          <w:lang w:eastAsia="it-IT"/>
        </w:rPr>
        <w:br/>
        <w:t xml:space="preserve">f). della comunicazione del Comune di San Lazzaro di Savena del 13 ottobre 2016 Prot.40318 con cui il Comune riscontrava l'istanza di accesso agli atti della San Lazzaro Calcio; </w:t>
      </w:r>
      <w:r w:rsidRPr="00247A22">
        <w:rPr>
          <w:rFonts w:ascii="Tahoma" w:eastAsia="Times New Roman" w:hAnsi="Tahoma" w:cs="Tahoma"/>
          <w:color w:val="3D3B39"/>
          <w:lang w:eastAsia="it-IT"/>
        </w:rPr>
        <w:br/>
        <w:t xml:space="preserve">g). del verbale di presa visione dello stato di fatto dell'impianto sportivo Stadio Comunale ubicato a San Lazzaro di Savena via Kennedy 61 e contestuale consegna delle chiavi di data 10 ottobre 2016 prot.39577/2016. </w:t>
      </w:r>
      <w:r w:rsidRPr="00247A22">
        <w:rPr>
          <w:rFonts w:ascii="Tahoma" w:eastAsia="Times New Roman" w:hAnsi="Tahoma" w:cs="Tahoma"/>
          <w:color w:val="3D3B39"/>
          <w:lang w:eastAsia="it-IT"/>
        </w:rPr>
        <w:br/>
        <w:t xml:space="preserve">Il ricorso è stato affidato ai seguenti 7 motivi di diritto : </w:t>
      </w:r>
      <w:r w:rsidRPr="00247A22">
        <w:rPr>
          <w:rFonts w:ascii="Tahoma" w:eastAsia="Times New Roman" w:hAnsi="Tahoma" w:cs="Tahoma"/>
          <w:color w:val="3D3B39"/>
          <w:lang w:eastAsia="it-IT"/>
        </w:rPr>
        <w:br/>
        <w:t xml:space="preserve">1). Illegittimità degli atti di gara per violazione degli artt. 167 e 71 DLGS 50/2016 e art. 97 </w:t>
      </w:r>
      <w:proofErr w:type="spellStart"/>
      <w:r w:rsidRPr="00247A22">
        <w:rPr>
          <w:rFonts w:ascii="Tahoma" w:eastAsia="Times New Roman" w:hAnsi="Tahoma" w:cs="Tahoma"/>
          <w:color w:val="3D3B39"/>
          <w:lang w:eastAsia="it-IT"/>
        </w:rPr>
        <w:t>Cost</w:t>
      </w:r>
      <w:proofErr w:type="spellEnd"/>
      <w:r w:rsidRPr="00247A22">
        <w:rPr>
          <w:rFonts w:ascii="Tahoma" w:eastAsia="Times New Roman" w:hAnsi="Tahoma" w:cs="Tahoma"/>
          <w:color w:val="3D3B39"/>
          <w:lang w:eastAsia="it-IT"/>
        </w:rPr>
        <w:t xml:space="preserve">., del principio di trasparenza e della par condicio </w:t>
      </w:r>
      <w:proofErr w:type="spellStart"/>
      <w:r w:rsidRPr="00247A22">
        <w:rPr>
          <w:rFonts w:ascii="Tahoma" w:eastAsia="Times New Roman" w:hAnsi="Tahoma" w:cs="Tahoma"/>
          <w:color w:val="3D3B39"/>
          <w:lang w:eastAsia="it-IT"/>
        </w:rPr>
        <w:t>competitorum</w:t>
      </w:r>
      <w:proofErr w:type="spellEnd"/>
      <w:r w:rsidRPr="00247A22">
        <w:rPr>
          <w:rFonts w:ascii="Tahoma" w:eastAsia="Times New Roman" w:hAnsi="Tahoma" w:cs="Tahoma"/>
          <w:color w:val="3D3B39"/>
          <w:lang w:eastAsia="it-IT"/>
        </w:rPr>
        <w:t xml:space="preserve">, </w:t>
      </w:r>
      <w:proofErr w:type="spellStart"/>
      <w:r w:rsidRPr="00247A22">
        <w:rPr>
          <w:rFonts w:ascii="Tahoma" w:eastAsia="Times New Roman" w:hAnsi="Tahoma" w:cs="Tahoma"/>
          <w:color w:val="3D3B39"/>
          <w:lang w:eastAsia="it-IT"/>
        </w:rPr>
        <w:t>nonchè</w:t>
      </w:r>
      <w:proofErr w:type="spellEnd"/>
      <w:r w:rsidRPr="00247A22">
        <w:rPr>
          <w:rFonts w:ascii="Tahoma" w:eastAsia="Times New Roman" w:hAnsi="Tahoma" w:cs="Tahoma"/>
          <w:color w:val="3D3B39"/>
          <w:lang w:eastAsia="it-IT"/>
        </w:rPr>
        <w:t xml:space="preserve"> eccesso di potere sotto il profilo della omissione delle indicazioni minime previste dal codice dei contratti pubblici, omessa indicazione del valore della concessione; </w:t>
      </w:r>
      <w:r w:rsidRPr="00247A22">
        <w:rPr>
          <w:rFonts w:ascii="Tahoma" w:eastAsia="Times New Roman" w:hAnsi="Tahoma" w:cs="Tahoma"/>
          <w:color w:val="3D3B39"/>
          <w:lang w:eastAsia="it-IT"/>
        </w:rPr>
        <w:br/>
      </w:r>
      <w:r w:rsidRPr="00247A22">
        <w:rPr>
          <w:rFonts w:ascii="Tahoma" w:eastAsia="Times New Roman" w:hAnsi="Tahoma" w:cs="Tahoma"/>
          <w:color w:val="3D3B39"/>
          <w:lang w:eastAsia="it-IT"/>
        </w:rPr>
        <w:lastRenderedPageBreak/>
        <w:t xml:space="preserve">2). Illegittimità degli atti di gara per violazione degli artt. 30, 95, comma 1 e 171 DLGS 50/2016, art. 97 </w:t>
      </w:r>
      <w:proofErr w:type="spellStart"/>
      <w:r w:rsidRPr="00247A22">
        <w:rPr>
          <w:rFonts w:ascii="Tahoma" w:eastAsia="Times New Roman" w:hAnsi="Tahoma" w:cs="Tahoma"/>
          <w:color w:val="3D3B39"/>
          <w:lang w:eastAsia="it-IT"/>
        </w:rPr>
        <w:t>Cost</w:t>
      </w:r>
      <w:proofErr w:type="spellEnd"/>
      <w:r w:rsidRPr="00247A22">
        <w:rPr>
          <w:rFonts w:ascii="Tahoma" w:eastAsia="Times New Roman" w:hAnsi="Tahoma" w:cs="Tahoma"/>
          <w:color w:val="3D3B39"/>
          <w:lang w:eastAsia="it-IT"/>
        </w:rPr>
        <w:t xml:space="preserve">., principi di trasparenza, imparzialità e par condicio </w:t>
      </w:r>
      <w:proofErr w:type="spellStart"/>
      <w:r w:rsidRPr="00247A22">
        <w:rPr>
          <w:rFonts w:ascii="Tahoma" w:eastAsia="Times New Roman" w:hAnsi="Tahoma" w:cs="Tahoma"/>
          <w:color w:val="3D3B39"/>
          <w:lang w:eastAsia="it-IT"/>
        </w:rPr>
        <w:t>competitorum</w:t>
      </w:r>
      <w:proofErr w:type="spellEnd"/>
      <w:r w:rsidRPr="00247A22">
        <w:rPr>
          <w:rFonts w:ascii="Tahoma" w:eastAsia="Times New Roman" w:hAnsi="Tahoma" w:cs="Tahoma"/>
          <w:color w:val="3D3B39"/>
          <w:lang w:eastAsia="it-IT"/>
        </w:rPr>
        <w:t xml:space="preserve">, nonché eccesso di potere sotto il profilo della omessa fissazione dei criteri di valutazione; </w:t>
      </w:r>
      <w:r w:rsidRPr="00247A22">
        <w:rPr>
          <w:rFonts w:ascii="Tahoma" w:eastAsia="Times New Roman" w:hAnsi="Tahoma" w:cs="Tahoma"/>
          <w:color w:val="3D3B39"/>
          <w:lang w:eastAsia="it-IT"/>
        </w:rPr>
        <w:br/>
        <w:t xml:space="preserve">3). Illegittimità degli atti di gara per violazione deli artt. 30,95 comma 1 e 171 del DLGS 50/2016, art. 97 </w:t>
      </w:r>
      <w:proofErr w:type="spellStart"/>
      <w:r w:rsidRPr="00247A22">
        <w:rPr>
          <w:rFonts w:ascii="Tahoma" w:eastAsia="Times New Roman" w:hAnsi="Tahoma" w:cs="Tahoma"/>
          <w:color w:val="3D3B39"/>
          <w:lang w:eastAsia="it-IT"/>
        </w:rPr>
        <w:t>Cost</w:t>
      </w:r>
      <w:proofErr w:type="spellEnd"/>
      <w:r w:rsidRPr="00247A22">
        <w:rPr>
          <w:rFonts w:ascii="Tahoma" w:eastAsia="Times New Roman" w:hAnsi="Tahoma" w:cs="Tahoma"/>
          <w:color w:val="3D3B39"/>
          <w:lang w:eastAsia="it-IT"/>
        </w:rPr>
        <w:t xml:space="preserve">., principi di trasparenza imparzialità e par condicio </w:t>
      </w:r>
      <w:proofErr w:type="spellStart"/>
      <w:r w:rsidRPr="00247A22">
        <w:rPr>
          <w:rFonts w:ascii="Tahoma" w:eastAsia="Times New Roman" w:hAnsi="Tahoma" w:cs="Tahoma"/>
          <w:color w:val="3D3B39"/>
          <w:lang w:eastAsia="it-IT"/>
        </w:rPr>
        <w:t>competitorum</w:t>
      </w:r>
      <w:proofErr w:type="spellEnd"/>
      <w:r w:rsidRPr="00247A22">
        <w:rPr>
          <w:rFonts w:ascii="Tahoma" w:eastAsia="Times New Roman" w:hAnsi="Tahoma" w:cs="Tahoma"/>
          <w:color w:val="3D3B39"/>
          <w:lang w:eastAsia="it-IT"/>
        </w:rPr>
        <w:t xml:space="preserve"> sotto altro profilo; omessa indicazione delle tariffe applicabili per l’uso dell’impianto; </w:t>
      </w:r>
      <w:r w:rsidRPr="00247A22">
        <w:rPr>
          <w:rFonts w:ascii="Tahoma" w:eastAsia="Times New Roman" w:hAnsi="Tahoma" w:cs="Tahoma"/>
          <w:color w:val="3D3B39"/>
          <w:lang w:eastAsia="it-IT"/>
        </w:rPr>
        <w:br/>
        <w:t xml:space="preserve">4). Violazione di legge in relazione ad art. 30 Codice contratti pubblici e art. 3 L. 241/90 per carenza di motivazione dell’atto impugnato;  </w:t>
      </w:r>
      <w:r w:rsidRPr="00247A22">
        <w:rPr>
          <w:rFonts w:ascii="Tahoma" w:eastAsia="Times New Roman" w:hAnsi="Tahoma" w:cs="Tahoma"/>
          <w:color w:val="3D3B39"/>
          <w:lang w:eastAsia="it-IT"/>
        </w:rPr>
        <w:br/>
        <w:t xml:space="preserve">5). Violazione di legge in relazione agli artt. 30 e 97 DLGS 50/2016 in relazione alla garanzia di qualità delle prestazioni e alle offerte anormalmente basse </w:t>
      </w:r>
      <w:proofErr w:type="spellStart"/>
      <w:r w:rsidRPr="00247A22">
        <w:rPr>
          <w:rFonts w:ascii="Tahoma" w:eastAsia="Times New Roman" w:hAnsi="Tahoma" w:cs="Tahoma"/>
          <w:color w:val="3D3B39"/>
          <w:lang w:eastAsia="it-IT"/>
        </w:rPr>
        <w:t>nonchè</w:t>
      </w:r>
      <w:proofErr w:type="spellEnd"/>
      <w:r w:rsidRPr="00247A22">
        <w:rPr>
          <w:rFonts w:ascii="Tahoma" w:eastAsia="Times New Roman" w:hAnsi="Tahoma" w:cs="Tahoma"/>
          <w:color w:val="3D3B39"/>
          <w:lang w:eastAsia="it-IT"/>
        </w:rPr>
        <w:t xml:space="preserve"> violazione di legge in relazione ai principi di buon andamento e imparzialità della PA ex art. 97 </w:t>
      </w:r>
      <w:proofErr w:type="spellStart"/>
      <w:r w:rsidRPr="00247A22">
        <w:rPr>
          <w:rFonts w:ascii="Tahoma" w:eastAsia="Times New Roman" w:hAnsi="Tahoma" w:cs="Tahoma"/>
          <w:color w:val="3D3B39"/>
          <w:lang w:eastAsia="it-IT"/>
        </w:rPr>
        <w:t>Cost</w:t>
      </w:r>
      <w:proofErr w:type="spellEnd"/>
      <w:r w:rsidRPr="00247A22">
        <w:rPr>
          <w:rFonts w:ascii="Tahoma" w:eastAsia="Times New Roman" w:hAnsi="Tahoma" w:cs="Tahoma"/>
          <w:color w:val="3D3B39"/>
          <w:lang w:eastAsia="it-IT"/>
        </w:rPr>
        <w:t xml:space="preserve">.; </w:t>
      </w:r>
      <w:r w:rsidRPr="00247A22">
        <w:rPr>
          <w:rFonts w:ascii="Tahoma" w:eastAsia="Times New Roman" w:hAnsi="Tahoma" w:cs="Tahoma"/>
          <w:color w:val="3D3B39"/>
          <w:lang w:eastAsia="it-IT"/>
        </w:rPr>
        <w:br/>
        <w:t xml:space="preserve">6). Violazione di legge in relazione ad art. 53 DGS 50/2016, degli artt. 2 e seg. L. 241/90 </w:t>
      </w:r>
      <w:proofErr w:type="spellStart"/>
      <w:r w:rsidRPr="00247A22">
        <w:rPr>
          <w:rFonts w:ascii="Tahoma" w:eastAsia="Times New Roman" w:hAnsi="Tahoma" w:cs="Tahoma"/>
          <w:color w:val="3D3B39"/>
          <w:lang w:eastAsia="it-IT"/>
        </w:rPr>
        <w:t>nonchè</w:t>
      </w:r>
      <w:proofErr w:type="spellEnd"/>
      <w:r w:rsidRPr="00247A22">
        <w:rPr>
          <w:rFonts w:ascii="Tahoma" w:eastAsia="Times New Roman" w:hAnsi="Tahoma" w:cs="Tahoma"/>
          <w:color w:val="3D3B39"/>
          <w:lang w:eastAsia="it-IT"/>
        </w:rPr>
        <w:t xml:space="preserve"> violazione di legge in relazione ai principi di buon andamento e imparzialità della PA ex art. 97 </w:t>
      </w:r>
      <w:proofErr w:type="spellStart"/>
      <w:r w:rsidRPr="00247A22">
        <w:rPr>
          <w:rFonts w:ascii="Tahoma" w:eastAsia="Times New Roman" w:hAnsi="Tahoma" w:cs="Tahoma"/>
          <w:color w:val="3D3B39"/>
          <w:lang w:eastAsia="it-IT"/>
        </w:rPr>
        <w:t>Cost</w:t>
      </w:r>
      <w:proofErr w:type="spellEnd"/>
      <w:r w:rsidRPr="00247A22">
        <w:rPr>
          <w:rFonts w:ascii="Tahoma" w:eastAsia="Times New Roman" w:hAnsi="Tahoma" w:cs="Tahoma"/>
          <w:color w:val="3D3B39"/>
          <w:lang w:eastAsia="it-IT"/>
        </w:rPr>
        <w:t xml:space="preserve">.;  </w:t>
      </w:r>
      <w:r w:rsidRPr="00247A22">
        <w:rPr>
          <w:rFonts w:ascii="Tahoma" w:eastAsia="Times New Roman" w:hAnsi="Tahoma" w:cs="Tahoma"/>
          <w:color w:val="3D3B39"/>
          <w:lang w:eastAsia="it-IT"/>
        </w:rPr>
        <w:br/>
        <w:t xml:space="preserve">7). Violazione di legge in relazione ad art. 77 DLGS 50/2016 in relazione alla formazione della commissione di aggiudicazione, </w:t>
      </w:r>
      <w:proofErr w:type="spellStart"/>
      <w:r w:rsidRPr="00247A22">
        <w:rPr>
          <w:rFonts w:ascii="Tahoma" w:eastAsia="Times New Roman" w:hAnsi="Tahoma" w:cs="Tahoma"/>
          <w:color w:val="3D3B39"/>
          <w:lang w:eastAsia="it-IT"/>
        </w:rPr>
        <w:t>nonchè</w:t>
      </w:r>
      <w:proofErr w:type="spellEnd"/>
      <w:r w:rsidRPr="00247A22">
        <w:rPr>
          <w:rFonts w:ascii="Tahoma" w:eastAsia="Times New Roman" w:hAnsi="Tahoma" w:cs="Tahoma"/>
          <w:color w:val="3D3B39"/>
          <w:lang w:eastAsia="it-IT"/>
        </w:rPr>
        <w:t xml:space="preserve"> violazione di legge in relazione ai principi di buon andamento, e imparzialità della PA ex art. 97 </w:t>
      </w:r>
      <w:proofErr w:type="spellStart"/>
      <w:r w:rsidRPr="00247A22">
        <w:rPr>
          <w:rFonts w:ascii="Tahoma" w:eastAsia="Times New Roman" w:hAnsi="Tahoma" w:cs="Tahoma"/>
          <w:color w:val="3D3B39"/>
          <w:lang w:eastAsia="it-IT"/>
        </w:rPr>
        <w:t>Cost</w:t>
      </w:r>
      <w:proofErr w:type="spellEnd"/>
      <w:r w:rsidRPr="00247A22">
        <w:rPr>
          <w:rFonts w:ascii="Tahoma" w:eastAsia="Times New Roman" w:hAnsi="Tahoma" w:cs="Tahoma"/>
          <w:color w:val="3D3B39"/>
          <w:lang w:eastAsia="it-IT"/>
        </w:rPr>
        <w:t xml:space="preserve">. </w:t>
      </w:r>
      <w:r w:rsidRPr="00247A22">
        <w:rPr>
          <w:rFonts w:ascii="Tahoma" w:eastAsia="Times New Roman" w:hAnsi="Tahoma" w:cs="Tahoma"/>
          <w:color w:val="3D3B39"/>
          <w:lang w:eastAsia="it-IT"/>
        </w:rPr>
        <w:br/>
        <w:t xml:space="preserve">In data 15.12.2016 la ricorrente ha depositato motivi aggiunti per l’impugnazione del provvedimento di diniego di accesso. I motivi aggiunti sono stati già decisi dal Collegio con sentenza di improcedibilità n. 31/2017 del 17.1.2017. </w:t>
      </w:r>
      <w:r w:rsidRPr="00247A22">
        <w:rPr>
          <w:rFonts w:ascii="Tahoma" w:eastAsia="Times New Roman" w:hAnsi="Tahoma" w:cs="Tahoma"/>
          <w:color w:val="3D3B39"/>
          <w:lang w:eastAsia="it-IT"/>
        </w:rPr>
        <w:br/>
        <w:t xml:space="preserve">Il Comune di San Lazzaro di Savena ha depositato in giudizio alcune repliche ( in data 11.11.2016; 5.1.2017; 16.2.2017). </w:t>
      </w:r>
      <w:r w:rsidRPr="00247A22">
        <w:rPr>
          <w:rFonts w:ascii="Tahoma" w:eastAsia="Times New Roman" w:hAnsi="Tahoma" w:cs="Tahoma"/>
          <w:color w:val="3D3B39"/>
          <w:lang w:eastAsia="it-IT"/>
        </w:rPr>
        <w:br/>
        <w:t xml:space="preserve">Giova richiamare – in via preliminare - gli eventi in punto di fatto : </w:t>
      </w:r>
      <w:r w:rsidRPr="00247A22">
        <w:rPr>
          <w:rFonts w:ascii="Tahoma" w:eastAsia="Times New Roman" w:hAnsi="Tahoma" w:cs="Tahoma"/>
          <w:color w:val="3D3B39"/>
          <w:lang w:eastAsia="it-IT"/>
        </w:rPr>
        <w:br/>
        <w:t xml:space="preserve">a). nella stagione 2015/2016 il Comune di San Lazzaro ha provveduto a curare direttamente la gestione degli impianti sportivi costituenti il complesso sportivo di &lt;via Kennedy mettendo lo stesso a disposizione degli interessati previo pagamento di un corrispettivo&gt;; </w:t>
      </w:r>
      <w:r w:rsidRPr="00247A22">
        <w:rPr>
          <w:rFonts w:ascii="Tahoma" w:eastAsia="Times New Roman" w:hAnsi="Tahoma" w:cs="Tahoma"/>
          <w:color w:val="3D3B39"/>
          <w:lang w:eastAsia="it-IT"/>
        </w:rPr>
        <w:br/>
        <w:t xml:space="preserve">b). con determina </w:t>
      </w:r>
      <w:proofErr w:type="spellStart"/>
      <w:r w:rsidRPr="00247A22">
        <w:rPr>
          <w:rFonts w:ascii="Tahoma" w:eastAsia="Times New Roman" w:hAnsi="Tahoma" w:cs="Tahoma"/>
          <w:color w:val="3D3B39"/>
          <w:lang w:eastAsia="it-IT"/>
        </w:rPr>
        <w:t>dd</w:t>
      </w:r>
      <w:proofErr w:type="spellEnd"/>
      <w:r w:rsidRPr="00247A22">
        <w:rPr>
          <w:rFonts w:ascii="Tahoma" w:eastAsia="Times New Roman" w:hAnsi="Tahoma" w:cs="Tahoma"/>
          <w:color w:val="3D3B39"/>
          <w:lang w:eastAsia="it-IT"/>
        </w:rPr>
        <w:t xml:space="preserve">. 543 del 15.7.2016 il Comune ha approvato la relativa disciplina di gara (capitolato di oneri e bando di gara); in proposito ha ritenuto preferibile affidare la gestione a un soggetto terzo indicendo la gara per la concessione della gestione dell’impianto sportivo Stadio comunale ubicato a San Lazzaro di Savena, via Kennedy n. 61, per la durata di 3 anni, eventualmente rinnovabile per altri 2; al punto 5 è stato fissato il prezzo e base di gara; </w:t>
      </w:r>
      <w:r w:rsidRPr="00247A22">
        <w:rPr>
          <w:rFonts w:ascii="Tahoma" w:eastAsia="Times New Roman" w:hAnsi="Tahoma" w:cs="Tahoma"/>
          <w:color w:val="3D3B39"/>
          <w:lang w:eastAsia="it-IT"/>
        </w:rPr>
        <w:br/>
        <w:t xml:space="preserve">c). in data 25-30 .8.2016 si sono tenute le sedute pubbliche di apertura delle buste di partecipazione alla gara dei soggetti che avevano presentato offerta;  </w:t>
      </w:r>
      <w:r w:rsidRPr="00247A22">
        <w:rPr>
          <w:rFonts w:ascii="Tahoma" w:eastAsia="Times New Roman" w:hAnsi="Tahoma" w:cs="Tahoma"/>
          <w:color w:val="3D3B39"/>
          <w:lang w:eastAsia="it-IT"/>
        </w:rPr>
        <w:br/>
        <w:t xml:space="preserve">d), in data 30.8.2016 l’importo indicato in quella presentata dal Real San Lazzaro ASD è risultato maggiore rispetto all’importo indicato dalla ricorrente;  </w:t>
      </w:r>
      <w:r w:rsidRPr="00247A22">
        <w:rPr>
          <w:rFonts w:ascii="Tahoma" w:eastAsia="Times New Roman" w:hAnsi="Tahoma" w:cs="Tahoma"/>
          <w:color w:val="3D3B39"/>
          <w:lang w:eastAsia="it-IT"/>
        </w:rPr>
        <w:br/>
        <w:t xml:space="preserve">e). con </w:t>
      </w:r>
      <w:proofErr w:type="spellStart"/>
      <w:r w:rsidRPr="00247A22">
        <w:rPr>
          <w:rFonts w:ascii="Tahoma" w:eastAsia="Times New Roman" w:hAnsi="Tahoma" w:cs="Tahoma"/>
          <w:color w:val="3D3B39"/>
          <w:lang w:eastAsia="it-IT"/>
        </w:rPr>
        <w:t>dd</w:t>
      </w:r>
      <w:proofErr w:type="spellEnd"/>
      <w:r w:rsidRPr="00247A22">
        <w:rPr>
          <w:rFonts w:ascii="Tahoma" w:eastAsia="Times New Roman" w:hAnsi="Tahoma" w:cs="Tahoma"/>
          <w:color w:val="3D3B39"/>
          <w:lang w:eastAsia="it-IT"/>
        </w:rPr>
        <w:t xml:space="preserve"> n. 740 del 26.9.2016 è stata data comunicazione alla ricorrente della aggiudicazione definitiva in favore della Real San Lazzaro ASD. La ricorrente si è classificata al 2° posto.  </w:t>
      </w:r>
      <w:r w:rsidRPr="00247A22">
        <w:rPr>
          <w:rFonts w:ascii="Tahoma" w:eastAsia="Times New Roman" w:hAnsi="Tahoma" w:cs="Tahoma"/>
          <w:color w:val="3D3B39"/>
          <w:lang w:eastAsia="it-IT"/>
        </w:rPr>
        <w:br/>
        <w:t xml:space="preserve">Tanto premesso il ricorso è infondato e deve essere respinto. </w:t>
      </w:r>
      <w:r w:rsidRPr="00247A22">
        <w:rPr>
          <w:rFonts w:ascii="Tahoma" w:eastAsia="Times New Roman" w:hAnsi="Tahoma" w:cs="Tahoma"/>
          <w:color w:val="3D3B39"/>
          <w:lang w:eastAsia="it-IT"/>
        </w:rPr>
        <w:br/>
        <w:t xml:space="preserve">I primi 3 motivi possono essere trattati congiuntamente per motivi di connessione oggettiva. </w:t>
      </w:r>
      <w:r w:rsidRPr="00247A22">
        <w:rPr>
          <w:rFonts w:ascii="Tahoma" w:eastAsia="Times New Roman" w:hAnsi="Tahoma" w:cs="Tahoma"/>
          <w:color w:val="3D3B39"/>
          <w:lang w:eastAsia="it-IT"/>
        </w:rPr>
        <w:br/>
        <w:t xml:space="preserve">1-3). Con il primo motivo la ricorrente lamenta che il bando di gara si &lt;limita ad indicare il prezzo a base di gara individuandolo nella realizzazione di interventi di manutenzione straordinaria per un importo a base di gara pari a € 50.000 + IVA senza però fare alcun accenno alla stima del fatturato generato dalla gestione dell’impianto&gt;. A suo avviso l’operazione sarebbe causa di illegittimità del bando e renderebbe dubbia la scelta sull’applicazione della disciplina applicabile al caso di specie in relazione alle soglie di rilevanza europea. </w:t>
      </w:r>
      <w:r w:rsidRPr="00247A22">
        <w:rPr>
          <w:rFonts w:ascii="Tahoma" w:eastAsia="Times New Roman" w:hAnsi="Tahoma" w:cs="Tahoma"/>
          <w:color w:val="3D3B39"/>
          <w:lang w:eastAsia="it-IT"/>
        </w:rPr>
        <w:br/>
        <w:t xml:space="preserve">Con il secondo motivo la ricorrente sostiene che la PA ha formulato nel bando criteri di aggiudicazione della gara che riconoscono una discrezionalità amministrativa del tutto contraria ai principi di legge; a suo avviso, poi, i criteri di valutazione, formulati al punto 8 del bando impugnato, sono affetti da un evidente vizio di genericità e sono sprovvisti dell’indicazione del sub valore cui avrebbe dovuto fare riferimento la commissione aggiudicatrice.  </w:t>
      </w:r>
      <w:r w:rsidRPr="00247A22">
        <w:rPr>
          <w:rFonts w:ascii="Tahoma" w:eastAsia="Times New Roman" w:hAnsi="Tahoma" w:cs="Tahoma"/>
          <w:color w:val="3D3B39"/>
          <w:lang w:eastAsia="it-IT"/>
        </w:rPr>
        <w:br/>
        <w:t xml:space="preserve">Infine, con il terzo motivo l’interessata lamenta che gli atti di gara non hanno consentito agli operatori la presentazione di un’offerta economica consapevole. Ribadisce che, allo stato, non essendo stata fornita la stima del fatturato relativo alla gestione dell’impianto per i futuri 5 anni e </w:t>
      </w:r>
      <w:r w:rsidRPr="00247A22">
        <w:rPr>
          <w:rFonts w:ascii="Tahoma" w:eastAsia="Times New Roman" w:hAnsi="Tahoma" w:cs="Tahoma"/>
          <w:color w:val="3D3B39"/>
          <w:lang w:eastAsia="it-IT"/>
        </w:rPr>
        <w:lastRenderedPageBreak/>
        <w:t xml:space="preserve">non potendo neppure conoscere le tariffe che l’aggiudicataria dovrà applicare nei confronti dei fruitori dell’impianto, nessuna delle offerenti, e degli altri potenziali partecipanti alla gara, è stata posta in condizione di formulare una offerta consapevole. </w:t>
      </w:r>
      <w:r w:rsidRPr="00247A22">
        <w:rPr>
          <w:rFonts w:ascii="Tahoma" w:eastAsia="Times New Roman" w:hAnsi="Tahoma" w:cs="Tahoma"/>
          <w:color w:val="3D3B39"/>
          <w:lang w:eastAsia="it-IT"/>
        </w:rPr>
        <w:br/>
        <w:t xml:space="preserve">Il Comune ha depositato ultima memoria di replica in data 16.2.2017: </w:t>
      </w:r>
      <w:r w:rsidRPr="00247A22">
        <w:rPr>
          <w:rFonts w:ascii="Tahoma" w:eastAsia="Times New Roman" w:hAnsi="Tahoma" w:cs="Tahoma"/>
          <w:color w:val="3D3B39"/>
          <w:lang w:eastAsia="it-IT"/>
        </w:rPr>
        <w:br/>
        <w:t xml:space="preserve">a). in relazione ai primi tre motivi ha eccepito la tardività dell’impugnazione in quanto avrebbe dovuto essere fatta valere nel termine </w:t>
      </w:r>
      <w:proofErr w:type="spellStart"/>
      <w:r w:rsidRPr="00247A22">
        <w:rPr>
          <w:rFonts w:ascii="Tahoma" w:eastAsia="Times New Roman" w:hAnsi="Tahoma" w:cs="Tahoma"/>
          <w:color w:val="3D3B39"/>
          <w:lang w:eastAsia="it-IT"/>
        </w:rPr>
        <w:t>decadenziale</w:t>
      </w:r>
      <w:proofErr w:type="spellEnd"/>
      <w:r w:rsidRPr="00247A22">
        <w:rPr>
          <w:rFonts w:ascii="Tahoma" w:eastAsia="Times New Roman" w:hAnsi="Tahoma" w:cs="Tahoma"/>
          <w:color w:val="3D3B39"/>
          <w:lang w:eastAsia="it-IT"/>
        </w:rPr>
        <w:t xml:space="preserve"> decorrente dalla pubblicazione della medesima disciplina di gara. </w:t>
      </w:r>
      <w:r w:rsidRPr="00247A22">
        <w:rPr>
          <w:rFonts w:ascii="Tahoma" w:eastAsia="Times New Roman" w:hAnsi="Tahoma" w:cs="Tahoma"/>
          <w:color w:val="3D3B39"/>
          <w:lang w:eastAsia="it-IT"/>
        </w:rPr>
        <w:br/>
        <w:t xml:space="preserve">Sostiene il Comune che i primi 3 motivi censurano le prescrizioni della gara che imporrebbero oneri assolutamente incomprensibili o sproporzionati.  </w:t>
      </w:r>
      <w:r w:rsidRPr="00247A22">
        <w:rPr>
          <w:rFonts w:ascii="Tahoma" w:eastAsia="Times New Roman" w:hAnsi="Tahoma" w:cs="Tahoma"/>
          <w:color w:val="3D3B39"/>
          <w:lang w:eastAsia="it-IT"/>
        </w:rPr>
        <w:br/>
        <w:t xml:space="preserve">Il ricorrente sostiene infatti che la </w:t>
      </w:r>
      <w:proofErr w:type="spellStart"/>
      <w:r w:rsidRPr="00247A22">
        <w:rPr>
          <w:rFonts w:ascii="Tahoma" w:eastAsia="Times New Roman" w:hAnsi="Tahoma" w:cs="Tahoma"/>
          <w:color w:val="3D3B39"/>
          <w:lang w:eastAsia="it-IT"/>
        </w:rPr>
        <w:t>lex</w:t>
      </w:r>
      <w:proofErr w:type="spellEnd"/>
      <w:r w:rsidRPr="00247A22">
        <w:rPr>
          <w:rFonts w:ascii="Tahoma" w:eastAsia="Times New Roman" w:hAnsi="Tahoma" w:cs="Tahoma"/>
          <w:color w:val="3D3B39"/>
          <w:lang w:eastAsia="it-IT"/>
        </w:rPr>
        <w:t xml:space="preserve"> </w:t>
      </w:r>
      <w:proofErr w:type="spellStart"/>
      <w:r w:rsidRPr="00247A22">
        <w:rPr>
          <w:rFonts w:ascii="Tahoma" w:eastAsia="Times New Roman" w:hAnsi="Tahoma" w:cs="Tahoma"/>
          <w:color w:val="3D3B39"/>
          <w:lang w:eastAsia="it-IT"/>
        </w:rPr>
        <w:t>concorsualis</w:t>
      </w:r>
      <w:proofErr w:type="spellEnd"/>
      <w:r w:rsidRPr="00247A22">
        <w:rPr>
          <w:rFonts w:ascii="Tahoma" w:eastAsia="Times New Roman" w:hAnsi="Tahoma" w:cs="Tahoma"/>
          <w:color w:val="3D3B39"/>
          <w:lang w:eastAsia="it-IT"/>
        </w:rPr>
        <w:t xml:space="preserve"> : </w:t>
      </w:r>
      <w:r w:rsidRPr="00247A22">
        <w:rPr>
          <w:rFonts w:ascii="Tahoma" w:eastAsia="Times New Roman" w:hAnsi="Tahoma" w:cs="Tahoma"/>
          <w:color w:val="3D3B39"/>
          <w:lang w:eastAsia="it-IT"/>
        </w:rPr>
        <w:br/>
        <w:t xml:space="preserve">a). non </w:t>
      </w:r>
      <w:proofErr w:type="spellStart"/>
      <w:r w:rsidRPr="00247A22">
        <w:rPr>
          <w:rFonts w:ascii="Tahoma" w:eastAsia="Times New Roman" w:hAnsi="Tahoma" w:cs="Tahoma"/>
          <w:color w:val="3D3B39"/>
          <w:lang w:eastAsia="it-IT"/>
        </w:rPr>
        <w:t>prevederebbe</w:t>
      </w:r>
      <w:proofErr w:type="spellEnd"/>
      <w:r w:rsidRPr="00247A22">
        <w:rPr>
          <w:rFonts w:ascii="Tahoma" w:eastAsia="Times New Roman" w:hAnsi="Tahoma" w:cs="Tahoma"/>
          <w:color w:val="3D3B39"/>
          <w:lang w:eastAsia="it-IT"/>
        </w:rPr>
        <w:t xml:space="preserve"> una base d’asta conforme a quanto prescritto dagli artt. 167 e 71 del DLGS 50/2016; </w:t>
      </w:r>
      <w:r w:rsidRPr="00247A22">
        <w:rPr>
          <w:rFonts w:ascii="Tahoma" w:eastAsia="Times New Roman" w:hAnsi="Tahoma" w:cs="Tahoma"/>
          <w:color w:val="3D3B39"/>
          <w:lang w:eastAsia="it-IT"/>
        </w:rPr>
        <w:br/>
        <w:t xml:space="preserve">b). contemplerebbe, in violazione dell’art. 95 e 171 DLGS 50/2016, criteri di valutazione generici e suscettibili di attribuire alla stazione appaltante una discrezionalità contraria a legge;  </w:t>
      </w:r>
      <w:r w:rsidRPr="00247A22">
        <w:rPr>
          <w:rFonts w:ascii="Tahoma" w:eastAsia="Times New Roman" w:hAnsi="Tahoma" w:cs="Tahoma"/>
          <w:color w:val="3D3B39"/>
          <w:lang w:eastAsia="it-IT"/>
        </w:rPr>
        <w:br/>
        <w:t xml:space="preserve">c). non contemplerebbe la stima del fatturato relativo alla gestione dell’impianto. </w:t>
      </w:r>
      <w:r w:rsidRPr="00247A22">
        <w:rPr>
          <w:rFonts w:ascii="Tahoma" w:eastAsia="Times New Roman" w:hAnsi="Tahoma" w:cs="Tahoma"/>
          <w:color w:val="3D3B39"/>
          <w:lang w:eastAsia="it-IT"/>
        </w:rPr>
        <w:br/>
        <w:t xml:space="preserve">Il Collegio condivide la predetta eccezione preliminare. </w:t>
      </w:r>
      <w:r w:rsidRPr="00247A22">
        <w:rPr>
          <w:rFonts w:ascii="Tahoma" w:eastAsia="Times New Roman" w:hAnsi="Tahoma" w:cs="Tahoma"/>
          <w:color w:val="3D3B39"/>
          <w:lang w:eastAsia="it-IT"/>
        </w:rPr>
        <w:br/>
        <w:t xml:space="preserve">Si condivide la tesi della controparte circa il fatto che vi è una capacità lesiva immediata della </w:t>
      </w:r>
      <w:proofErr w:type="spellStart"/>
      <w:r w:rsidRPr="00247A22">
        <w:rPr>
          <w:rFonts w:ascii="Tahoma" w:eastAsia="Times New Roman" w:hAnsi="Tahoma" w:cs="Tahoma"/>
          <w:color w:val="3D3B39"/>
          <w:lang w:eastAsia="it-IT"/>
        </w:rPr>
        <w:t>lex</w:t>
      </w:r>
      <w:proofErr w:type="spellEnd"/>
      <w:r w:rsidRPr="00247A22">
        <w:rPr>
          <w:rFonts w:ascii="Tahoma" w:eastAsia="Times New Roman" w:hAnsi="Tahoma" w:cs="Tahoma"/>
          <w:color w:val="3D3B39"/>
          <w:lang w:eastAsia="it-IT"/>
        </w:rPr>
        <w:t xml:space="preserve"> </w:t>
      </w:r>
      <w:proofErr w:type="spellStart"/>
      <w:r w:rsidRPr="00247A22">
        <w:rPr>
          <w:rFonts w:ascii="Tahoma" w:eastAsia="Times New Roman" w:hAnsi="Tahoma" w:cs="Tahoma"/>
          <w:color w:val="3D3B39"/>
          <w:lang w:eastAsia="it-IT"/>
        </w:rPr>
        <w:t>specialis</w:t>
      </w:r>
      <w:proofErr w:type="spellEnd"/>
      <w:r w:rsidRPr="00247A22">
        <w:rPr>
          <w:rFonts w:ascii="Tahoma" w:eastAsia="Times New Roman" w:hAnsi="Tahoma" w:cs="Tahoma"/>
          <w:color w:val="3D3B39"/>
          <w:lang w:eastAsia="it-IT"/>
        </w:rPr>
        <w:t xml:space="preserve"> che - pertanto - andava impugnata immediatamente.  </w:t>
      </w:r>
      <w:r w:rsidRPr="00247A22">
        <w:rPr>
          <w:rFonts w:ascii="Tahoma" w:eastAsia="Times New Roman" w:hAnsi="Tahoma" w:cs="Tahoma"/>
          <w:color w:val="3D3B39"/>
          <w:lang w:eastAsia="it-IT"/>
        </w:rPr>
        <w:br/>
        <w:t xml:space="preserve">Come noto, l’impugnativa autonoma del bando proposta nella qualità di mero partecipante alla procedura è inammissibile in mancanza della deduzione di vizi comportanti l’esclusione dalla partecipazione alla gara, per carenza di lesione concreta ed attuale (e quindi per carenza di interesse), considerato che, in tal caso, la lesione si verifica (e l’interesse sorge) solo a seguito dell’eventuale esito finale negativo della procedura (cfr., ex </w:t>
      </w:r>
      <w:proofErr w:type="spellStart"/>
      <w:r w:rsidRPr="00247A22">
        <w:rPr>
          <w:rFonts w:ascii="Tahoma" w:eastAsia="Times New Roman" w:hAnsi="Tahoma" w:cs="Tahoma"/>
          <w:color w:val="3D3B39"/>
          <w:lang w:eastAsia="it-IT"/>
        </w:rPr>
        <w:t>plurimis</w:t>
      </w:r>
      <w:proofErr w:type="spellEnd"/>
      <w:r w:rsidRPr="00247A22">
        <w:rPr>
          <w:rFonts w:ascii="Tahoma" w:eastAsia="Times New Roman" w:hAnsi="Tahoma" w:cs="Tahoma"/>
          <w:color w:val="3D3B39"/>
          <w:lang w:eastAsia="it-IT"/>
        </w:rPr>
        <w:t xml:space="preserve">, </w:t>
      </w:r>
      <w:proofErr w:type="spellStart"/>
      <w:r w:rsidRPr="00247A22">
        <w:rPr>
          <w:rFonts w:ascii="Tahoma" w:eastAsia="Times New Roman" w:hAnsi="Tahoma" w:cs="Tahoma"/>
          <w:color w:val="3D3B39"/>
          <w:lang w:eastAsia="it-IT"/>
        </w:rPr>
        <w:t>C.d.S</w:t>
      </w:r>
      <w:proofErr w:type="spellEnd"/>
      <w:r w:rsidRPr="00247A22">
        <w:rPr>
          <w:rFonts w:ascii="Tahoma" w:eastAsia="Times New Roman" w:hAnsi="Tahoma" w:cs="Tahoma"/>
          <w:color w:val="3D3B39"/>
          <w:lang w:eastAsia="it-IT"/>
        </w:rPr>
        <w:t xml:space="preserve">., Sez. VI, 3 aprile 2003, n. 1716, secondo cui &lt;&lt;il bando di gara, normalmente impugnabile con l'atto applicativo, conclusivo del procedimento concorsuale, deve essere considerato immediatamente impugnabile solo allorché contenga clausole impeditive dell'ammissione dell'interessato alla selezione&gt;&gt;). </w:t>
      </w:r>
      <w:r w:rsidRPr="00247A22">
        <w:rPr>
          <w:rFonts w:ascii="Tahoma" w:eastAsia="Times New Roman" w:hAnsi="Tahoma" w:cs="Tahoma"/>
          <w:color w:val="3D3B39"/>
          <w:lang w:eastAsia="it-IT"/>
        </w:rPr>
        <w:br/>
        <w:t xml:space="preserve">A fronte, infatti, di una clausola illegittima della </w:t>
      </w:r>
      <w:proofErr w:type="spellStart"/>
      <w:r w:rsidRPr="00247A22">
        <w:rPr>
          <w:rFonts w:ascii="Tahoma" w:eastAsia="Times New Roman" w:hAnsi="Tahoma" w:cs="Tahoma"/>
          <w:color w:val="3D3B39"/>
          <w:lang w:eastAsia="it-IT"/>
        </w:rPr>
        <w:t>lex</w:t>
      </w:r>
      <w:proofErr w:type="spellEnd"/>
      <w:r w:rsidRPr="00247A22">
        <w:rPr>
          <w:rFonts w:ascii="Tahoma" w:eastAsia="Times New Roman" w:hAnsi="Tahoma" w:cs="Tahoma"/>
          <w:color w:val="3D3B39"/>
          <w:lang w:eastAsia="it-IT"/>
        </w:rPr>
        <w:t xml:space="preserve"> </w:t>
      </w:r>
      <w:proofErr w:type="spellStart"/>
      <w:r w:rsidRPr="00247A22">
        <w:rPr>
          <w:rFonts w:ascii="Tahoma" w:eastAsia="Times New Roman" w:hAnsi="Tahoma" w:cs="Tahoma"/>
          <w:color w:val="3D3B39"/>
          <w:lang w:eastAsia="it-IT"/>
        </w:rPr>
        <w:t>specialis</w:t>
      </w:r>
      <w:proofErr w:type="spellEnd"/>
      <w:r w:rsidRPr="00247A22">
        <w:rPr>
          <w:rFonts w:ascii="Tahoma" w:eastAsia="Times New Roman" w:hAnsi="Tahoma" w:cs="Tahoma"/>
          <w:color w:val="3D3B39"/>
          <w:lang w:eastAsia="it-IT"/>
        </w:rPr>
        <w:t xml:space="preserve"> di gara, ma non impeditiva della partecipazione, il concorrente non è ancora titolare di un interesse attuale all'impugnazione, poiché non sa ancora se l'astratta e potenziale illegittimità della predetta clausola si risolverà in un esito negativo della sua partecipazione alla procedura concorsuale, e quindi in un’effettiva lesione della situazione soggettiva che solo da tale esito può derivare (in questo senso si veda </w:t>
      </w:r>
      <w:proofErr w:type="spellStart"/>
      <w:r w:rsidRPr="00247A22">
        <w:rPr>
          <w:rFonts w:ascii="Tahoma" w:eastAsia="Times New Roman" w:hAnsi="Tahoma" w:cs="Tahoma"/>
          <w:color w:val="3D3B39"/>
          <w:lang w:eastAsia="it-IT"/>
        </w:rPr>
        <w:t>T.a.r</w:t>
      </w:r>
      <w:proofErr w:type="spellEnd"/>
      <w:r w:rsidRPr="00247A22">
        <w:rPr>
          <w:rFonts w:ascii="Tahoma" w:eastAsia="Times New Roman" w:hAnsi="Tahoma" w:cs="Tahoma"/>
          <w:color w:val="3D3B39"/>
          <w:lang w:eastAsia="it-IT"/>
        </w:rPr>
        <w:t xml:space="preserve">. Lombardia - Milano, sez. III, n. 1072/2013, </w:t>
      </w:r>
      <w:proofErr w:type="spellStart"/>
      <w:r w:rsidRPr="00247A22">
        <w:rPr>
          <w:rFonts w:ascii="Tahoma" w:eastAsia="Times New Roman" w:hAnsi="Tahoma" w:cs="Tahoma"/>
          <w:color w:val="3D3B39"/>
          <w:lang w:eastAsia="it-IT"/>
        </w:rPr>
        <w:t>Cons</w:t>
      </w:r>
      <w:proofErr w:type="spellEnd"/>
      <w:r w:rsidRPr="00247A22">
        <w:rPr>
          <w:rFonts w:ascii="Tahoma" w:eastAsia="Times New Roman" w:hAnsi="Tahoma" w:cs="Tahoma"/>
          <w:color w:val="3D3B39"/>
          <w:lang w:eastAsia="it-IT"/>
        </w:rPr>
        <w:t xml:space="preserve">. Stato Sez. V, 03-06-2015, n. 2713, </w:t>
      </w:r>
      <w:proofErr w:type="spellStart"/>
      <w:r w:rsidRPr="00247A22">
        <w:rPr>
          <w:rFonts w:ascii="Tahoma" w:eastAsia="Times New Roman" w:hAnsi="Tahoma" w:cs="Tahoma"/>
          <w:color w:val="3D3B39"/>
          <w:lang w:eastAsia="it-IT"/>
        </w:rPr>
        <w:t>Cons</w:t>
      </w:r>
      <w:proofErr w:type="spellEnd"/>
      <w:r w:rsidRPr="00247A22">
        <w:rPr>
          <w:rFonts w:ascii="Tahoma" w:eastAsia="Times New Roman" w:hAnsi="Tahoma" w:cs="Tahoma"/>
          <w:color w:val="3D3B39"/>
          <w:lang w:eastAsia="it-IT"/>
        </w:rPr>
        <w:t xml:space="preserve">. Stato Sez. V, 16-09-2011, n. 5188, </w:t>
      </w:r>
      <w:proofErr w:type="spellStart"/>
      <w:r w:rsidRPr="00247A22">
        <w:rPr>
          <w:rFonts w:ascii="Tahoma" w:eastAsia="Times New Roman" w:hAnsi="Tahoma" w:cs="Tahoma"/>
          <w:color w:val="3D3B39"/>
          <w:lang w:eastAsia="it-IT"/>
        </w:rPr>
        <w:t>Cons</w:t>
      </w:r>
      <w:proofErr w:type="spellEnd"/>
      <w:r w:rsidRPr="00247A22">
        <w:rPr>
          <w:rFonts w:ascii="Tahoma" w:eastAsia="Times New Roman" w:hAnsi="Tahoma" w:cs="Tahoma"/>
          <w:color w:val="3D3B39"/>
          <w:lang w:eastAsia="it-IT"/>
        </w:rPr>
        <w:t xml:space="preserve">. Stato Sez. III, 10-12-2013, n. 5909 </w:t>
      </w:r>
      <w:proofErr w:type="spellStart"/>
      <w:r w:rsidRPr="00247A22">
        <w:rPr>
          <w:rFonts w:ascii="Tahoma" w:eastAsia="Times New Roman" w:hAnsi="Tahoma" w:cs="Tahoma"/>
          <w:color w:val="3D3B39"/>
          <w:lang w:eastAsia="it-IT"/>
        </w:rPr>
        <w:t>Cons</w:t>
      </w:r>
      <w:proofErr w:type="spellEnd"/>
      <w:r w:rsidRPr="00247A22">
        <w:rPr>
          <w:rFonts w:ascii="Tahoma" w:eastAsia="Times New Roman" w:hAnsi="Tahoma" w:cs="Tahoma"/>
          <w:color w:val="3D3B39"/>
          <w:lang w:eastAsia="it-IT"/>
        </w:rPr>
        <w:t xml:space="preserve">. Stato Sez. VI, 08-02-2016, n. 510, </w:t>
      </w:r>
      <w:proofErr w:type="spellStart"/>
      <w:r w:rsidRPr="00247A22">
        <w:rPr>
          <w:rFonts w:ascii="Tahoma" w:eastAsia="Times New Roman" w:hAnsi="Tahoma" w:cs="Tahoma"/>
          <w:color w:val="3D3B39"/>
          <w:lang w:eastAsia="it-IT"/>
        </w:rPr>
        <w:t>Cons</w:t>
      </w:r>
      <w:proofErr w:type="spellEnd"/>
      <w:r w:rsidRPr="00247A22">
        <w:rPr>
          <w:rFonts w:ascii="Tahoma" w:eastAsia="Times New Roman" w:hAnsi="Tahoma" w:cs="Tahoma"/>
          <w:color w:val="3D3B39"/>
          <w:lang w:eastAsia="it-IT"/>
        </w:rPr>
        <w:t xml:space="preserve">. Stato Sez. V, 24-08-2010, n. 5919). </w:t>
      </w:r>
      <w:r w:rsidRPr="00247A22">
        <w:rPr>
          <w:rFonts w:ascii="Tahoma" w:eastAsia="Times New Roman" w:hAnsi="Tahoma" w:cs="Tahoma"/>
          <w:color w:val="3D3B39"/>
          <w:lang w:eastAsia="it-IT"/>
        </w:rPr>
        <w:br/>
        <w:t xml:space="preserve">Nel caso di specie, tuttavia, i vizi dedotti andavano tempestivamente proposti avverso la </w:t>
      </w:r>
      <w:proofErr w:type="spellStart"/>
      <w:r w:rsidRPr="00247A22">
        <w:rPr>
          <w:rFonts w:ascii="Tahoma" w:eastAsia="Times New Roman" w:hAnsi="Tahoma" w:cs="Tahoma"/>
          <w:color w:val="3D3B39"/>
          <w:lang w:eastAsia="it-IT"/>
        </w:rPr>
        <w:t>lex</w:t>
      </w:r>
      <w:proofErr w:type="spellEnd"/>
      <w:r w:rsidRPr="00247A22">
        <w:rPr>
          <w:rFonts w:ascii="Tahoma" w:eastAsia="Times New Roman" w:hAnsi="Tahoma" w:cs="Tahoma"/>
          <w:color w:val="3D3B39"/>
          <w:lang w:eastAsia="it-IT"/>
        </w:rPr>
        <w:t xml:space="preserve"> </w:t>
      </w:r>
      <w:proofErr w:type="spellStart"/>
      <w:r w:rsidRPr="00247A22">
        <w:rPr>
          <w:rFonts w:ascii="Tahoma" w:eastAsia="Times New Roman" w:hAnsi="Tahoma" w:cs="Tahoma"/>
          <w:color w:val="3D3B39"/>
          <w:lang w:eastAsia="it-IT"/>
        </w:rPr>
        <w:t>specialis</w:t>
      </w:r>
      <w:proofErr w:type="spellEnd"/>
      <w:r w:rsidRPr="00247A22">
        <w:rPr>
          <w:rFonts w:ascii="Tahoma" w:eastAsia="Times New Roman" w:hAnsi="Tahoma" w:cs="Tahoma"/>
          <w:color w:val="3D3B39"/>
          <w:lang w:eastAsia="it-IT"/>
        </w:rPr>
        <w:t xml:space="preserve">. </w:t>
      </w:r>
      <w:r w:rsidRPr="00247A22">
        <w:rPr>
          <w:rFonts w:ascii="Tahoma" w:eastAsia="Times New Roman" w:hAnsi="Tahoma" w:cs="Tahoma"/>
          <w:color w:val="3D3B39"/>
          <w:lang w:eastAsia="it-IT"/>
        </w:rPr>
        <w:br/>
        <w:t xml:space="preserve">4). Può passarsi pertanto all’esame del 4° motivo di ricorso. </w:t>
      </w:r>
      <w:r w:rsidRPr="00247A22">
        <w:rPr>
          <w:rFonts w:ascii="Tahoma" w:eastAsia="Times New Roman" w:hAnsi="Tahoma" w:cs="Tahoma"/>
          <w:color w:val="3D3B39"/>
          <w:lang w:eastAsia="it-IT"/>
        </w:rPr>
        <w:br/>
        <w:t xml:space="preserve">Con questo il ricorrente lamenta la violazione dei principi di imparzialità e buon andamento della PA e il difetto di motivazione. A suo avviso la determina </w:t>
      </w:r>
      <w:proofErr w:type="spellStart"/>
      <w:r w:rsidRPr="00247A22">
        <w:rPr>
          <w:rFonts w:ascii="Tahoma" w:eastAsia="Times New Roman" w:hAnsi="Tahoma" w:cs="Tahoma"/>
          <w:color w:val="3D3B39"/>
          <w:lang w:eastAsia="it-IT"/>
        </w:rPr>
        <w:t>dd</w:t>
      </w:r>
      <w:proofErr w:type="spellEnd"/>
      <w:r w:rsidRPr="00247A22">
        <w:rPr>
          <w:rFonts w:ascii="Tahoma" w:eastAsia="Times New Roman" w:hAnsi="Tahoma" w:cs="Tahoma"/>
          <w:color w:val="3D3B39"/>
          <w:lang w:eastAsia="it-IT"/>
        </w:rPr>
        <w:t xml:space="preserve"> n. 740 del 26.9.2016 omette di fornire qualsiasi motivazione in relazione agli approdi della Commissione dando atto solo della avvenuta aggiudicazione della concessione a favore del Real San Lazzaro. </w:t>
      </w:r>
      <w:r w:rsidRPr="00247A22">
        <w:rPr>
          <w:rFonts w:ascii="Tahoma" w:eastAsia="Times New Roman" w:hAnsi="Tahoma" w:cs="Tahoma"/>
          <w:color w:val="3D3B39"/>
          <w:lang w:eastAsia="it-IT"/>
        </w:rPr>
        <w:br/>
        <w:t xml:space="preserve">Controparte chiarisce invece che l’atto in questione fa proprie le risultanze della gara espresse nei verbali e a questi fa riferimento.  </w:t>
      </w:r>
      <w:r w:rsidRPr="00247A22">
        <w:rPr>
          <w:rFonts w:ascii="Tahoma" w:eastAsia="Times New Roman" w:hAnsi="Tahoma" w:cs="Tahoma"/>
          <w:color w:val="3D3B39"/>
          <w:lang w:eastAsia="it-IT"/>
        </w:rPr>
        <w:br/>
        <w:t xml:space="preserve">Si tratta di motivazione per </w:t>
      </w:r>
      <w:proofErr w:type="spellStart"/>
      <w:r w:rsidRPr="00247A22">
        <w:rPr>
          <w:rFonts w:ascii="Tahoma" w:eastAsia="Times New Roman" w:hAnsi="Tahoma" w:cs="Tahoma"/>
          <w:color w:val="3D3B39"/>
          <w:lang w:eastAsia="it-IT"/>
        </w:rPr>
        <w:t>relationem</w:t>
      </w:r>
      <w:proofErr w:type="spellEnd"/>
      <w:r w:rsidRPr="00247A22">
        <w:rPr>
          <w:rFonts w:ascii="Tahoma" w:eastAsia="Times New Roman" w:hAnsi="Tahoma" w:cs="Tahoma"/>
          <w:color w:val="3D3B39"/>
          <w:lang w:eastAsia="it-IT"/>
        </w:rPr>
        <w:t xml:space="preserve">. </w:t>
      </w:r>
      <w:r w:rsidRPr="00247A22">
        <w:rPr>
          <w:rFonts w:ascii="Tahoma" w:eastAsia="Times New Roman" w:hAnsi="Tahoma" w:cs="Tahoma"/>
          <w:color w:val="3D3B39"/>
          <w:lang w:eastAsia="it-IT"/>
        </w:rPr>
        <w:br/>
        <w:t xml:space="preserve">Come noto, la motivazione di un provvedimento amministrativo consiste nella enunciazione delle ragioni di fatto e nella individuazione delle relative norme di diritto che ne hanno giustificato il contenuto, ed è finalizzata a consentire al destinatario del provvedimento la ricostruzione dell'iter logico-giuridico che ha determinato la volontà dell'Amministrazione consacrata nella determinazione a suo carico adottata. (cfr. </w:t>
      </w:r>
      <w:proofErr w:type="spellStart"/>
      <w:r w:rsidRPr="00247A22">
        <w:rPr>
          <w:rFonts w:ascii="Tahoma" w:eastAsia="Times New Roman" w:hAnsi="Tahoma" w:cs="Tahoma"/>
          <w:color w:val="3D3B39"/>
          <w:lang w:eastAsia="it-IT"/>
        </w:rPr>
        <w:t>Cons</w:t>
      </w:r>
      <w:proofErr w:type="spellEnd"/>
      <w:r w:rsidRPr="00247A22">
        <w:rPr>
          <w:rFonts w:ascii="Tahoma" w:eastAsia="Times New Roman" w:hAnsi="Tahoma" w:cs="Tahoma"/>
          <w:color w:val="3D3B39"/>
          <w:lang w:eastAsia="it-IT"/>
        </w:rPr>
        <w:t xml:space="preserve">. Stato, Sez. IV, 6 ottobre 2003, n. 5868; idem, Sez. V, 18 dicembre 2003, n. 8341; idem, Sez. VI, 3 marzo 2004, n. 1047; idem, Sez. IV, 22 settembre 2005, 4982; cit. n. 1750 del 2006). </w:t>
      </w:r>
      <w:r w:rsidRPr="00247A22">
        <w:rPr>
          <w:rFonts w:ascii="Tahoma" w:eastAsia="Times New Roman" w:hAnsi="Tahoma" w:cs="Tahoma"/>
          <w:color w:val="3D3B39"/>
          <w:lang w:eastAsia="it-IT"/>
        </w:rPr>
        <w:br/>
        <w:t xml:space="preserve">La motivazione degli atti amministrativi costituisce uno strumento di verifica del rispetto dei limiti della discrezionalità allo scopo di far conoscere agli interessati le ragioni che impongono la </w:t>
      </w:r>
      <w:r w:rsidRPr="00247A22">
        <w:rPr>
          <w:rFonts w:ascii="Tahoma" w:eastAsia="Times New Roman" w:hAnsi="Tahoma" w:cs="Tahoma"/>
          <w:color w:val="3D3B39"/>
          <w:lang w:eastAsia="it-IT"/>
        </w:rPr>
        <w:lastRenderedPageBreak/>
        <w:t xml:space="preserve">restrizione delle rispettive sfere giuridiche o che ne impediscono l'ampliamento, e di consentire il sindacato di legittimità sia da parte del giudice amministrativo che eventualmente degli organi di controllo (fra le tante </w:t>
      </w:r>
      <w:proofErr w:type="spellStart"/>
      <w:r w:rsidRPr="00247A22">
        <w:rPr>
          <w:rFonts w:ascii="Tahoma" w:eastAsia="Times New Roman" w:hAnsi="Tahoma" w:cs="Tahoma"/>
          <w:color w:val="3D3B39"/>
          <w:lang w:eastAsia="it-IT"/>
        </w:rPr>
        <w:t>Cons</w:t>
      </w:r>
      <w:proofErr w:type="spellEnd"/>
      <w:r w:rsidRPr="00247A22">
        <w:rPr>
          <w:rFonts w:ascii="Tahoma" w:eastAsia="Times New Roman" w:hAnsi="Tahoma" w:cs="Tahoma"/>
          <w:color w:val="3D3B39"/>
          <w:lang w:eastAsia="it-IT"/>
        </w:rPr>
        <w:t xml:space="preserve">. Stato sez. V, 3 aprile 2002 n. 1904 ), atteso il disposto di cui all'art. 3 L. 241/1990, secondo cui ogni provvedimento amministrativo deve indicare i presupposti di fatto e le ragioni giuridiche che determinano la decisione dell'amministrazione. </w:t>
      </w:r>
      <w:r w:rsidRPr="00247A22">
        <w:rPr>
          <w:rFonts w:ascii="Tahoma" w:eastAsia="Times New Roman" w:hAnsi="Tahoma" w:cs="Tahoma"/>
          <w:color w:val="3D3B39"/>
          <w:lang w:eastAsia="it-IT"/>
        </w:rPr>
        <w:br/>
        <w:t>All'osservanza dell'obbligo della motivazione va attribuito un rilievo preliminare e procedimentale nel rispetto del generale principio di buona amministrazione, correttezza e trasparenza, positivizzato dall'art. 3, della Legge 7 agosto 1990, n. 241 rispetto al quale sorge, per il privato, una legittima aspettativa a conoscere il contenuto e il motivi del provvedimento riguardante la sua richiesta (</w:t>
      </w:r>
      <w:proofErr w:type="spellStart"/>
      <w:r w:rsidRPr="00247A22">
        <w:rPr>
          <w:rFonts w:ascii="Tahoma" w:eastAsia="Times New Roman" w:hAnsi="Tahoma" w:cs="Tahoma"/>
          <w:color w:val="3D3B39"/>
          <w:lang w:eastAsia="it-IT"/>
        </w:rPr>
        <w:t>cfr.ex</w:t>
      </w:r>
      <w:proofErr w:type="spellEnd"/>
      <w:r w:rsidRPr="00247A22">
        <w:rPr>
          <w:rFonts w:ascii="Tahoma" w:eastAsia="Times New Roman" w:hAnsi="Tahoma" w:cs="Tahoma"/>
          <w:color w:val="3D3B39"/>
          <w:lang w:eastAsia="it-IT"/>
        </w:rPr>
        <w:t xml:space="preserve"> </w:t>
      </w:r>
      <w:proofErr w:type="spellStart"/>
      <w:r w:rsidRPr="00247A22">
        <w:rPr>
          <w:rFonts w:ascii="Tahoma" w:eastAsia="Times New Roman" w:hAnsi="Tahoma" w:cs="Tahoma"/>
          <w:color w:val="3D3B39"/>
          <w:lang w:eastAsia="it-IT"/>
        </w:rPr>
        <w:t>multis</w:t>
      </w:r>
      <w:proofErr w:type="spellEnd"/>
      <w:r w:rsidRPr="00247A22">
        <w:rPr>
          <w:rFonts w:ascii="Tahoma" w:eastAsia="Times New Roman" w:hAnsi="Tahoma" w:cs="Tahoma"/>
          <w:color w:val="3D3B39"/>
          <w:lang w:eastAsia="it-IT"/>
        </w:rPr>
        <w:t xml:space="preserve"> , da ultimo, Tar Sicilia, Catania, Sez. III, 22 settembre 2005, n. 1431; Tar Lazio, Roma, Sez. II, 20 gennaio 2006, n. 460; </w:t>
      </w:r>
      <w:proofErr w:type="spellStart"/>
      <w:r w:rsidRPr="00247A22">
        <w:rPr>
          <w:rFonts w:ascii="Tahoma" w:eastAsia="Times New Roman" w:hAnsi="Tahoma" w:cs="Tahoma"/>
          <w:color w:val="3D3B39"/>
          <w:lang w:eastAsia="it-IT"/>
        </w:rPr>
        <w:t>Cons</w:t>
      </w:r>
      <w:proofErr w:type="spellEnd"/>
      <w:r w:rsidRPr="00247A22">
        <w:rPr>
          <w:rFonts w:ascii="Tahoma" w:eastAsia="Times New Roman" w:hAnsi="Tahoma" w:cs="Tahoma"/>
          <w:color w:val="3D3B39"/>
          <w:lang w:eastAsia="it-IT"/>
        </w:rPr>
        <w:t xml:space="preserve">. Stato, Sez. V, 4 aprile 2006, n. 1750). </w:t>
      </w:r>
      <w:r w:rsidRPr="00247A22">
        <w:rPr>
          <w:rFonts w:ascii="Tahoma" w:eastAsia="Times New Roman" w:hAnsi="Tahoma" w:cs="Tahoma"/>
          <w:color w:val="3D3B39"/>
          <w:lang w:eastAsia="it-IT"/>
        </w:rPr>
        <w:br/>
        <w:t xml:space="preserve">La motivazione può anche non essere materialmente contenuta nel provvedimento amministrativo. Si tratta della cd. motivazione per </w:t>
      </w:r>
      <w:proofErr w:type="spellStart"/>
      <w:r w:rsidRPr="00247A22">
        <w:rPr>
          <w:rFonts w:ascii="Tahoma" w:eastAsia="Times New Roman" w:hAnsi="Tahoma" w:cs="Tahoma"/>
          <w:color w:val="3D3B39"/>
          <w:lang w:eastAsia="it-IT"/>
        </w:rPr>
        <w:t>relationem</w:t>
      </w:r>
      <w:proofErr w:type="spellEnd"/>
      <w:r w:rsidRPr="00247A22">
        <w:rPr>
          <w:rFonts w:ascii="Tahoma" w:eastAsia="Times New Roman" w:hAnsi="Tahoma" w:cs="Tahoma"/>
          <w:color w:val="3D3B39"/>
          <w:lang w:eastAsia="it-IT"/>
        </w:rPr>
        <w:t xml:space="preserve">, da sempre ammessa, e ora anche legislativamente prevista.  </w:t>
      </w:r>
      <w:r w:rsidRPr="00247A22">
        <w:rPr>
          <w:rFonts w:ascii="Tahoma" w:eastAsia="Times New Roman" w:hAnsi="Tahoma" w:cs="Tahoma"/>
          <w:color w:val="3D3B39"/>
          <w:lang w:eastAsia="it-IT"/>
        </w:rPr>
        <w:br/>
        <w:t xml:space="preserve">Al riguardo, l’art. 3 l. 7 agosto 1990 n. 241 consente all’amministrazione di esternare le ragioni del provvedimento assunto con motivazione per </w:t>
      </w:r>
      <w:proofErr w:type="spellStart"/>
      <w:r w:rsidRPr="00247A22">
        <w:rPr>
          <w:rFonts w:ascii="Tahoma" w:eastAsia="Times New Roman" w:hAnsi="Tahoma" w:cs="Tahoma"/>
          <w:color w:val="3D3B39"/>
          <w:lang w:eastAsia="it-IT"/>
        </w:rPr>
        <w:t>relationem</w:t>
      </w:r>
      <w:proofErr w:type="spellEnd"/>
      <w:r w:rsidRPr="00247A22">
        <w:rPr>
          <w:rFonts w:ascii="Tahoma" w:eastAsia="Times New Roman" w:hAnsi="Tahoma" w:cs="Tahoma"/>
          <w:color w:val="3D3B39"/>
          <w:lang w:eastAsia="it-IT"/>
        </w:rPr>
        <w:t xml:space="preserve"> e pone due soli obblighi: a)il primo, indefettibile, concernente il richiamo espresso all’altro atto che contiene la motivazione e, se necessario, la precisa indicazione delle parti cui si intende fare riferimento e b)il secondo, eventuale, consistente nella messa a disposizione (in visione o in copia) dell’atto richiamato, azionabile solo ad istanza di parte (cfr., C. Stato, sez. VI, 24-10-2000, n. 5711). </w:t>
      </w:r>
      <w:r w:rsidRPr="00247A22">
        <w:rPr>
          <w:rFonts w:ascii="Tahoma" w:eastAsia="Times New Roman" w:hAnsi="Tahoma" w:cs="Tahoma"/>
          <w:color w:val="3D3B39"/>
          <w:lang w:eastAsia="it-IT"/>
        </w:rPr>
        <w:br/>
        <w:t xml:space="preserve">Questo tipo di motivazione è, quindi, legittimo ma l’atto contenente la motivazione deve essere espressamente e chiaramente indicato nel provvedimento e deve, se richiesto, essere reso disponibile nei confronti di eventuali interessati (cfr., ex </w:t>
      </w:r>
      <w:proofErr w:type="spellStart"/>
      <w:r w:rsidRPr="00247A22">
        <w:rPr>
          <w:rFonts w:ascii="Tahoma" w:eastAsia="Times New Roman" w:hAnsi="Tahoma" w:cs="Tahoma"/>
          <w:color w:val="3D3B39"/>
          <w:lang w:eastAsia="it-IT"/>
        </w:rPr>
        <w:t>plurimis</w:t>
      </w:r>
      <w:proofErr w:type="spellEnd"/>
      <w:r w:rsidRPr="00247A22">
        <w:rPr>
          <w:rFonts w:ascii="Tahoma" w:eastAsia="Times New Roman" w:hAnsi="Tahoma" w:cs="Tahoma"/>
          <w:color w:val="3D3B39"/>
          <w:lang w:eastAsia="it-IT"/>
        </w:rPr>
        <w:t xml:space="preserve">, Tar Toscana sez. II n. 106 del 18.3.1993; Tar Lazio sez. II n. 144 del 10.1.1993). </w:t>
      </w:r>
      <w:r w:rsidRPr="00247A22">
        <w:rPr>
          <w:rFonts w:ascii="Tahoma" w:eastAsia="Times New Roman" w:hAnsi="Tahoma" w:cs="Tahoma"/>
          <w:color w:val="3D3B39"/>
          <w:lang w:eastAsia="it-IT"/>
        </w:rPr>
        <w:br/>
        <w:t xml:space="preserve">Naturalmente l’atto richiamato in via relazionale deve, a sua volta, contenere la motivazione nei limiti di congruità necessari, per cui, nel caso quest’ultimo non contenga una sufficiente motivazione, il provvedimento deve essere considerato illegittimo (cfr., Tar Calabria, n. 983 del 13.10.1994). </w:t>
      </w:r>
      <w:r w:rsidRPr="00247A22">
        <w:rPr>
          <w:rFonts w:ascii="Tahoma" w:eastAsia="Times New Roman" w:hAnsi="Tahoma" w:cs="Tahoma"/>
          <w:color w:val="3D3B39"/>
          <w:lang w:eastAsia="it-IT"/>
        </w:rPr>
        <w:br/>
        <w:t xml:space="preserve">Ad esempio, è stato ritenuto (cfr., C. Stato, sez. I, 10-11-1999, n. 591/99) che è illegittimo il provvedimento amministrativo motivato per </w:t>
      </w:r>
      <w:proofErr w:type="spellStart"/>
      <w:r w:rsidRPr="00247A22">
        <w:rPr>
          <w:rFonts w:ascii="Tahoma" w:eastAsia="Times New Roman" w:hAnsi="Tahoma" w:cs="Tahoma"/>
          <w:color w:val="3D3B39"/>
          <w:lang w:eastAsia="it-IT"/>
        </w:rPr>
        <w:t>relationem</w:t>
      </w:r>
      <w:proofErr w:type="spellEnd"/>
      <w:r w:rsidRPr="00247A22">
        <w:rPr>
          <w:rFonts w:ascii="Tahoma" w:eastAsia="Times New Roman" w:hAnsi="Tahoma" w:cs="Tahoma"/>
          <w:color w:val="3D3B39"/>
          <w:lang w:eastAsia="it-IT"/>
        </w:rPr>
        <w:t xml:space="preserve"> nel caso in cui l’atto a cui si rinvia sia sfornito di motivazione. </w:t>
      </w:r>
      <w:r w:rsidRPr="00247A22">
        <w:rPr>
          <w:rFonts w:ascii="Tahoma" w:eastAsia="Times New Roman" w:hAnsi="Tahoma" w:cs="Tahoma"/>
          <w:color w:val="3D3B39"/>
          <w:lang w:eastAsia="it-IT"/>
        </w:rPr>
        <w:br/>
        <w:t xml:space="preserve">Controparte precisa altresì che, in relazione a ciascun criterio di valutazione, la commissione nel raffrontare le due offerte in gara non solo ha espresso una valutazione ma ha anche accompagnato tale valutazione con specifiche e puntuali argomentazioni dando motivato conto delle scelte preferenziali effettuate. </w:t>
      </w:r>
      <w:r w:rsidRPr="00247A22">
        <w:rPr>
          <w:rFonts w:ascii="Tahoma" w:eastAsia="Times New Roman" w:hAnsi="Tahoma" w:cs="Tahoma"/>
          <w:color w:val="3D3B39"/>
          <w:lang w:eastAsia="it-IT"/>
        </w:rPr>
        <w:br/>
        <w:t xml:space="preserve">5) Con il quinto motivo la ricorrente ritiene sia mancato l’esperimento della procedura prescritta dall’art. 97 DLGS 50/2016. </w:t>
      </w:r>
      <w:r w:rsidRPr="00247A22">
        <w:rPr>
          <w:rFonts w:ascii="Tahoma" w:eastAsia="Times New Roman" w:hAnsi="Tahoma" w:cs="Tahoma"/>
          <w:color w:val="3D3B39"/>
          <w:lang w:eastAsia="it-IT"/>
        </w:rPr>
        <w:br/>
        <w:t xml:space="preserve">Anche qui si ritiene condivisibile la replica che le parti I e II del citato DLGS 50/2016 possono ritenersi applicabili – esclusivamente – con riferimento all’ambito oggettivo di riferimento della norma (concessioni di servizi destinate ad una delle attività di cui all’allegato II). </w:t>
      </w:r>
      <w:r w:rsidRPr="00247A22">
        <w:rPr>
          <w:rFonts w:ascii="Tahoma" w:eastAsia="Times New Roman" w:hAnsi="Tahoma" w:cs="Tahoma"/>
          <w:color w:val="3D3B39"/>
          <w:lang w:eastAsia="it-IT"/>
        </w:rPr>
        <w:br/>
        <w:t xml:space="preserve">6). Il sesto motivo attiene al profilo dell’accesso ma questo è stato soddisfatto dalla PA e dunque è divenuto improcedibile. </w:t>
      </w:r>
      <w:r w:rsidRPr="00247A22">
        <w:rPr>
          <w:rFonts w:ascii="Tahoma" w:eastAsia="Times New Roman" w:hAnsi="Tahoma" w:cs="Tahoma"/>
          <w:color w:val="3D3B39"/>
          <w:lang w:eastAsia="it-IT"/>
        </w:rPr>
        <w:br/>
        <w:t xml:space="preserve">7). Infine con l’ultimo motivo si censura la composizione della commissione di gara. </w:t>
      </w:r>
      <w:r w:rsidRPr="00247A22">
        <w:rPr>
          <w:rFonts w:ascii="Tahoma" w:eastAsia="Times New Roman" w:hAnsi="Tahoma" w:cs="Tahoma"/>
          <w:color w:val="3D3B39"/>
          <w:lang w:eastAsia="it-IT"/>
        </w:rPr>
        <w:br/>
        <w:t xml:space="preserve">Richiamando l’art. 77 del DLGS 50/2016 la ricorrente sostiene che, dai verbali di gara, si evince che la commissione aggiudicatrice era formata da un numero pari di commissari (4) tutti facenti parte dell’amministrazione comunale; invece la norma richiede un numero dispari di commissari che non devono aver svolto o svolgere alcuna altra funzione o incarico tecnico o amministrativo relativamente al contratto del cui affidamento si tratta.  </w:t>
      </w:r>
      <w:r w:rsidRPr="00247A22">
        <w:rPr>
          <w:rFonts w:ascii="Tahoma" w:eastAsia="Times New Roman" w:hAnsi="Tahoma" w:cs="Tahoma"/>
          <w:color w:val="3D3B39"/>
          <w:lang w:eastAsia="it-IT"/>
        </w:rPr>
        <w:br/>
        <w:t xml:space="preserve">In replica si precisa che la commissione di gara era composta da 3 componenti e da un segretario che non ha svolto alcuna attività valutativa.  </w:t>
      </w:r>
      <w:r w:rsidRPr="00247A22">
        <w:rPr>
          <w:rFonts w:ascii="Tahoma" w:eastAsia="Times New Roman" w:hAnsi="Tahoma" w:cs="Tahoma"/>
          <w:color w:val="3D3B39"/>
          <w:lang w:eastAsia="it-IT"/>
        </w:rPr>
        <w:br/>
        <w:t xml:space="preserve">Infine non si può ritenere che l’appartenenza dei componenti la commissione ai ruoli della PA possa di per sé rappresentare una ragione di incompatibilità dei componenti medesimi.  </w:t>
      </w:r>
      <w:r w:rsidRPr="00247A22">
        <w:rPr>
          <w:rFonts w:ascii="Tahoma" w:eastAsia="Times New Roman" w:hAnsi="Tahoma" w:cs="Tahoma"/>
          <w:color w:val="3D3B39"/>
          <w:lang w:eastAsia="it-IT"/>
        </w:rPr>
        <w:br/>
        <w:t xml:space="preserve">Al riguardo il Collegio ritiene di conformarsi a quell’orientamento giurisprudenziale secondo il quale </w:t>
      </w:r>
      <w:r w:rsidRPr="00247A22">
        <w:rPr>
          <w:rFonts w:ascii="Tahoma" w:eastAsia="Times New Roman" w:hAnsi="Tahoma" w:cs="Tahoma"/>
          <w:color w:val="3D3B39"/>
          <w:lang w:eastAsia="it-IT"/>
        </w:rPr>
        <w:lastRenderedPageBreak/>
        <w:t>non già la mancata sottoscrizione della dichiarazione sull’insussistenza di situazioni di incompatibilità dei commissari di gara, ma solo l'effettiva sussistenza di una causa di incompatibilità può inficiare la procedura di gara (</w:t>
      </w:r>
      <w:proofErr w:type="spellStart"/>
      <w:r w:rsidRPr="00247A22">
        <w:rPr>
          <w:rFonts w:ascii="Tahoma" w:eastAsia="Times New Roman" w:hAnsi="Tahoma" w:cs="Tahoma"/>
          <w:color w:val="3D3B39"/>
          <w:lang w:eastAsia="it-IT"/>
        </w:rPr>
        <w:t>T.a.r</w:t>
      </w:r>
      <w:proofErr w:type="spellEnd"/>
      <w:r w:rsidRPr="00247A22">
        <w:rPr>
          <w:rFonts w:ascii="Tahoma" w:eastAsia="Times New Roman" w:hAnsi="Tahoma" w:cs="Tahoma"/>
          <w:color w:val="3D3B39"/>
          <w:lang w:eastAsia="it-IT"/>
        </w:rPr>
        <w:t xml:space="preserve">. Lombardia, Milano, sez. III, 6 maggio 2013 n. 1162). </w:t>
      </w:r>
      <w:r w:rsidRPr="00247A22">
        <w:rPr>
          <w:rFonts w:ascii="Tahoma" w:eastAsia="Times New Roman" w:hAnsi="Tahoma" w:cs="Tahoma"/>
          <w:color w:val="3D3B39"/>
          <w:lang w:eastAsia="it-IT"/>
        </w:rPr>
        <w:br/>
        <w:t xml:space="preserve">Questa andrebbe dimostrata e nella vicenda è affermazione generica e indimostrata (nonostante alla data fissata per l’udienza l’avvocato difensore del ricorrente abbia richiamato l’attività della dottoressa </w:t>
      </w:r>
      <w:proofErr w:type="spellStart"/>
      <w:r w:rsidRPr="00247A22">
        <w:rPr>
          <w:rFonts w:ascii="Tahoma" w:eastAsia="Times New Roman" w:hAnsi="Tahoma" w:cs="Tahoma"/>
          <w:color w:val="3D3B39"/>
          <w:lang w:eastAsia="it-IT"/>
        </w:rPr>
        <w:t>Ghini</w:t>
      </w:r>
      <w:proofErr w:type="spellEnd"/>
      <w:r w:rsidRPr="00247A22">
        <w:rPr>
          <w:rFonts w:ascii="Tahoma" w:eastAsia="Times New Roman" w:hAnsi="Tahoma" w:cs="Tahoma"/>
          <w:color w:val="3D3B39"/>
          <w:lang w:eastAsia="it-IT"/>
        </w:rPr>
        <w:t xml:space="preserve"> e del Sig. Paladino). </w:t>
      </w:r>
      <w:r w:rsidRPr="00247A22">
        <w:rPr>
          <w:rFonts w:ascii="Tahoma" w:eastAsia="Times New Roman" w:hAnsi="Tahoma" w:cs="Tahoma"/>
          <w:color w:val="3D3B39"/>
          <w:lang w:eastAsia="it-IT"/>
        </w:rPr>
        <w:br/>
        <w:t xml:space="preserve">Controparte chiarisce che la dottoressa </w:t>
      </w:r>
      <w:proofErr w:type="spellStart"/>
      <w:r w:rsidRPr="00247A22">
        <w:rPr>
          <w:rFonts w:ascii="Tahoma" w:eastAsia="Times New Roman" w:hAnsi="Tahoma" w:cs="Tahoma"/>
          <w:color w:val="3D3B39"/>
          <w:lang w:eastAsia="it-IT"/>
        </w:rPr>
        <w:t>Ghini</w:t>
      </w:r>
      <w:proofErr w:type="spellEnd"/>
      <w:r w:rsidRPr="00247A22">
        <w:rPr>
          <w:rFonts w:ascii="Tahoma" w:eastAsia="Times New Roman" w:hAnsi="Tahoma" w:cs="Tahoma"/>
          <w:color w:val="3D3B39"/>
          <w:lang w:eastAsia="it-IT"/>
        </w:rPr>
        <w:t xml:space="preserve"> aveva la qualità di responsabile del procedimento ma tale compito non è incompatibile con le funzioni di presidente della commissione di gara.  </w:t>
      </w:r>
      <w:r w:rsidRPr="00247A22">
        <w:rPr>
          <w:rFonts w:ascii="Tahoma" w:eastAsia="Times New Roman" w:hAnsi="Tahoma" w:cs="Tahoma"/>
          <w:color w:val="3D3B39"/>
          <w:lang w:eastAsia="it-IT"/>
        </w:rPr>
        <w:br/>
        <w:t xml:space="preserve">E anche l’attività svolta dal Sig. Paladino (ruolo operativo nella gestione dell’impianto sportivo) è ininfluente e privo di conseguenze rilevanti.  </w:t>
      </w:r>
      <w:r w:rsidRPr="00247A22">
        <w:rPr>
          <w:rFonts w:ascii="Tahoma" w:eastAsia="Times New Roman" w:hAnsi="Tahoma" w:cs="Tahoma"/>
          <w:color w:val="3D3B39"/>
          <w:lang w:eastAsia="it-IT"/>
        </w:rPr>
        <w:br/>
        <w:t xml:space="preserve">In replica poi si precisa ulteriormente quanto segue : </w:t>
      </w:r>
      <w:r w:rsidRPr="00247A22">
        <w:rPr>
          <w:rFonts w:ascii="Tahoma" w:eastAsia="Times New Roman" w:hAnsi="Tahoma" w:cs="Tahoma"/>
          <w:color w:val="3D3B39"/>
          <w:lang w:eastAsia="it-IT"/>
        </w:rPr>
        <w:br/>
        <w:t xml:space="preserve">a). l’insieme delle utilità fornite alla collettività da un impianto sportivo di proprietà di un ente pubblico è da qualificare in termini di servizio pubblico; si ritiene pertanto che – con riferimento all’affidamento della gestione di un impianto sportivo – possono trovare applicazione le disposizioni di cui alla parte III del DLGS 50/2016 atteso che queste, ai sensi dell’art. 164, sono preordinate a disciplinare &lt;le procedure di aggiudicazione dei contratti di concessione lavori pubblici o servizi indette delle amministrazioni aggiudicatrici, nonché dagli enti aggiudicatori qualora i </w:t>
      </w:r>
      <w:proofErr w:type="spellStart"/>
      <w:r w:rsidRPr="00247A22">
        <w:rPr>
          <w:rFonts w:ascii="Tahoma" w:eastAsia="Times New Roman" w:hAnsi="Tahoma" w:cs="Tahoma"/>
          <w:color w:val="3D3B39"/>
          <w:lang w:eastAsia="it-IT"/>
        </w:rPr>
        <w:t>lavoir</w:t>
      </w:r>
      <w:proofErr w:type="spellEnd"/>
      <w:r w:rsidRPr="00247A22">
        <w:rPr>
          <w:rFonts w:ascii="Tahoma" w:eastAsia="Times New Roman" w:hAnsi="Tahoma" w:cs="Tahoma"/>
          <w:color w:val="3D3B39"/>
          <w:lang w:eastAsia="it-IT"/>
        </w:rPr>
        <w:t xml:space="preserve"> o i servizi siano destinati a una delle attività di cui all’allegato II&gt;. </w:t>
      </w:r>
      <w:r w:rsidRPr="00247A22">
        <w:rPr>
          <w:rFonts w:ascii="Tahoma" w:eastAsia="Times New Roman" w:hAnsi="Tahoma" w:cs="Tahoma"/>
          <w:color w:val="3D3B39"/>
          <w:lang w:eastAsia="it-IT"/>
        </w:rPr>
        <w:br/>
        <w:t>b). Nel caso di specie l’</w:t>
      </w:r>
      <w:proofErr w:type="spellStart"/>
      <w:r w:rsidRPr="00247A22">
        <w:rPr>
          <w:rFonts w:ascii="Tahoma" w:eastAsia="Times New Roman" w:hAnsi="Tahoma" w:cs="Tahoma"/>
          <w:color w:val="3D3B39"/>
          <w:lang w:eastAsia="it-IT"/>
        </w:rPr>
        <w:t>autovincolo</w:t>
      </w:r>
      <w:proofErr w:type="spellEnd"/>
      <w:r w:rsidRPr="00247A22">
        <w:rPr>
          <w:rFonts w:ascii="Tahoma" w:eastAsia="Times New Roman" w:hAnsi="Tahoma" w:cs="Tahoma"/>
          <w:color w:val="3D3B39"/>
          <w:lang w:eastAsia="it-IT"/>
        </w:rPr>
        <w:t xml:space="preserve"> è operativo esclusivamente con riferimento all’art. 80 DLGS 50/2016 inerente i requisiti di partecipazione. </w:t>
      </w:r>
      <w:r w:rsidRPr="00247A22">
        <w:rPr>
          <w:rFonts w:ascii="Tahoma" w:eastAsia="Times New Roman" w:hAnsi="Tahoma" w:cs="Tahoma"/>
          <w:color w:val="3D3B39"/>
          <w:lang w:eastAsia="it-IT"/>
        </w:rPr>
        <w:br/>
        <w:t xml:space="preserve">I motivi aggiunti sono stati già decisi dal Collegio con la sentenza n. 31/2017. </w:t>
      </w:r>
      <w:r w:rsidRPr="00247A22">
        <w:rPr>
          <w:rFonts w:ascii="Tahoma" w:eastAsia="Times New Roman" w:hAnsi="Tahoma" w:cs="Tahoma"/>
          <w:color w:val="3D3B39"/>
          <w:lang w:eastAsia="it-IT"/>
        </w:rPr>
        <w:br/>
        <w:t xml:space="preserve">In conclusione, il ricorso deve essere respinto. </w:t>
      </w:r>
      <w:r w:rsidRPr="00247A22">
        <w:rPr>
          <w:rFonts w:ascii="Tahoma" w:eastAsia="Times New Roman" w:hAnsi="Tahoma" w:cs="Tahoma"/>
          <w:color w:val="3D3B39"/>
          <w:lang w:eastAsia="it-IT"/>
        </w:rPr>
        <w:br/>
        <w:t xml:space="preserve">Le spese seguono la soccombenza e sono liquidate in dispositivo. </w:t>
      </w:r>
    </w:p>
    <w:p w:rsidR="00247A22" w:rsidRPr="00247A22" w:rsidRDefault="00247A22" w:rsidP="00247A22">
      <w:pPr>
        <w:spacing w:after="265" w:line="240" w:lineRule="auto"/>
        <w:jc w:val="center"/>
        <w:rPr>
          <w:rFonts w:ascii="Tahoma" w:eastAsia="Times New Roman" w:hAnsi="Tahoma" w:cs="Tahoma"/>
          <w:color w:val="3D3B39"/>
          <w:lang w:eastAsia="it-IT"/>
        </w:rPr>
      </w:pPr>
      <w:r w:rsidRPr="00247A22">
        <w:rPr>
          <w:rFonts w:ascii="Tahoma" w:eastAsia="Times New Roman" w:hAnsi="Tahoma" w:cs="Tahoma"/>
          <w:b/>
          <w:bCs/>
          <w:color w:val="3D3B39"/>
          <w:lang w:eastAsia="it-IT"/>
        </w:rPr>
        <w:t>P.Q.M.</w:t>
      </w:r>
    </w:p>
    <w:p w:rsidR="00247A22" w:rsidRPr="00247A22" w:rsidRDefault="00247A22" w:rsidP="00247A22">
      <w:pPr>
        <w:spacing w:after="265" w:line="240" w:lineRule="auto"/>
        <w:rPr>
          <w:rFonts w:ascii="Tahoma" w:eastAsia="Times New Roman" w:hAnsi="Tahoma" w:cs="Tahoma"/>
          <w:color w:val="3D3B39"/>
          <w:lang w:eastAsia="it-IT"/>
        </w:rPr>
      </w:pPr>
      <w:r w:rsidRPr="00247A22">
        <w:rPr>
          <w:rFonts w:ascii="Tahoma" w:eastAsia="Times New Roman" w:hAnsi="Tahoma" w:cs="Tahoma"/>
          <w:color w:val="3D3B39"/>
          <w:lang w:eastAsia="it-IT"/>
        </w:rPr>
        <w:t xml:space="preserve">Il Tribunale Amministrativo Regionale per l'Emilia Romagna (Sezione Seconda) definitivamente pronunciando sul ricorso, come in epigrafe proposto, lo respinge.  </w:t>
      </w:r>
      <w:r w:rsidRPr="00247A22">
        <w:rPr>
          <w:rFonts w:ascii="Tahoma" w:eastAsia="Times New Roman" w:hAnsi="Tahoma" w:cs="Tahoma"/>
          <w:color w:val="3D3B39"/>
          <w:lang w:eastAsia="it-IT"/>
        </w:rPr>
        <w:br/>
        <w:t xml:space="preserve">Condanna il soccombente al pagamento delle spese del presente giudizio in favore della controparte costituita che liquida nella misura di € 4.000,00 oltre IVA e CPA come per legge. </w:t>
      </w:r>
      <w:r w:rsidRPr="00247A22">
        <w:rPr>
          <w:rFonts w:ascii="Tahoma" w:eastAsia="Times New Roman" w:hAnsi="Tahoma" w:cs="Tahoma"/>
          <w:color w:val="3D3B39"/>
          <w:lang w:eastAsia="it-IT"/>
        </w:rPr>
        <w:br/>
        <w:t xml:space="preserve">Ordina che la presente sentenza sia eseguita dall'autorità amministrativa. </w:t>
      </w:r>
      <w:r w:rsidRPr="00247A22">
        <w:rPr>
          <w:rFonts w:ascii="Tahoma" w:eastAsia="Times New Roman" w:hAnsi="Tahoma" w:cs="Tahoma"/>
          <w:color w:val="3D3B39"/>
          <w:lang w:eastAsia="it-IT"/>
        </w:rPr>
        <w:br/>
        <w:t xml:space="preserve">Così deciso in Bologna nella camera di consiglio del giorno 28 febbraio 2017 con l'intervento dei magistrati: </w:t>
      </w:r>
      <w:r w:rsidRPr="00247A22">
        <w:rPr>
          <w:rFonts w:ascii="Tahoma" w:eastAsia="Times New Roman" w:hAnsi="Tahoma" w:cs="Tahoma"/>
          <w:color w:val="3D3B39"/>
          <w:lang w:eastAsia="it-IT"/>
        </w:rPr>
        <w:br/>
        <w:t xml:space="preserve">Giancarlo </w:t>
      </w:r>
      <w:proofErr w:type="spellStart"/>
      <w:r w:rsidRPr="00247A22">
        <w:rPr>
          <w:rFonts w:ascii="Tahoma" w:eastAsia="Times New Roman" w:hAnsi="Tahoma" w:cs="Tahoma"/>
          <w:color w:val="3D3B39"/>
          <w:lang w:eastAsia="it-IT"/>
        </w:rPr>
        <w:t>Mozzarelli</w:t>
      </w:r>
      <w:proofErr w:type="spellEnd"/>
      <w:r w:rsidRPr="00247A22">
        <w:rPr>
          <w:rFonts w:ascii="Tahoma" w:eastAsia="Times New Roman" w:hAnsi="Tahoma" w:cs="Tahoma"/>
          <w:color w:val="3D3B39"/>
          <w:lang w:eastAsia="it-IT"/>
        </w:rPr>
        <w:t xml:space="preserve">, Presidente </w:t>
      </w:r>
      <w:r w:rsidRPr="00247A22">
        <w:rPr>
          <w:rFonts w:ascii="Tahoma" w:eastAsia="Times New Roman" w:hAnsi="Tahoma" w:cs="Tahoma"/>
          <w:color w:val="3D3B39"/>
          <w:lang w:eastAsia="it-IT"/>
        </w:rPr>
        <w:br/>
        <w:t xml:space="preserve">Maria Ada Russo, Consigliere, Estensore </w:t>
      </w:r>
      <w:r w:rsidRPr="00247A22">
        <w:rPr>
          <w:rFonts w:ascii="Tahoma" w:eastAsia="Times New Roman" w:hAnsi="Tahoma" w:cs="Tahoma"/>
          <w:color w:val="3D3B39"/>
          <w:lang w:eastAsia="it-IT"/>
        </w:rPr>
        <w:br/>
        <w:t xml:space="preserve">Silvia </w:t>
      </w:r>
      <w:proofErr w:type="spellStart"/>
      <w:r w:rsidRPr="00247A22">
        <w:rPr>
          <w:rFonts w:ascii="Tahoma" w:eastAsia="Times New Roman" w:hAnsi="Tahoma" w:cs="Tahoma"/>
          <w:color w:val="3D3B39"/>
          <w:lang w:eastAsia="it-IT"/>
        </w:rPr>
        <w:t>Coppari</w:t>
      </w:r>
      <w:proofErr w:type="spellEnd"/>
      <w:r w:rsidRPr="00247A22">
        <w:rPr>
          <w:rFonts w:ascii="Tahoma" w:eastAsia="Times New Roman" w:hAnsi="Tahoma" w:cs="Tahoma"/>
          <w:color w:val="3D3B39"/>
          <w:lang w:eastAsia="it-IT"/>
        </w:rPr>
        <w:t xml:space="preserve">, Primo Referendario </w:t>
      </w:r>
    </w:p>
    <w:p w:rsidR="00247A22" w:rsidRPr="00694329" w:rsidRDefault="00247A22" w:rsidP="00694329">
      <w:pPr>
        <w:spacing w:after="265" w:line="240" w:lineRule="auto"/>
        <w:rPr>
          <w:rFonts w:ascii="Tahoma" w:eastAsia="Times New Roman" w:hAnsi="Tahoma" w:cs="Tahoma"/>
          <w:color w:val="3D3B39"/>
          <w:lang w:eastAsia="it-IT"/>
        </w:rPr>
      </w:pPr>
    </w:p>
    <w:p w:rsidR="0078361C" w:rsidRPr="00247A22" w:rsidRDefault="0078361C">
      <w:pPr>
        <w:rPr>
          <w:rFonts w:ascii="Tahoma" w:hAnsi="Tahoma" w:cs="Tahoma"/>
        </w:rPr>
      </w:pPr>
    </w:p>
    <w:p w:rsidR="0078361C" w:rsidRPr="00247A22" w:rsidRDefault="0078361C">
      <w:pPr>
        <w:rPr>
          <w:rFonts w:ascii="Tahoma" w:hAnsi="Tahoma" w:cs="Tahoma"/>
        </w:rPr>
      </w:pPr>
    </w:p>
    <w:p w:rsidR="0078361C" w:rsidRPr="00247A22" w:rsidRDefault="0078361C">
      <w:pPr>
        <w:rPr>
          <w:rFonts w:ascii="Tahoma" w:hAnsi="Tahoma" w:cs="Tahoma"/>
        </w:rPr>
      </w:pPr>
    </w:p>
    <w:p w:rsidR="0078361C" w:rsidRPr="00247A22" w:rsidRDefault="0078361C">
      <w:pPr>
        <w:rPr>
          <w:rFonts w:ascii="Tahoma" w:hAnsi="Tahoma" w:cs="Tahoma"/>
        </w:rPr>
      </w:pPr>
    </w:p>
    <w:p w:rsidR="0078361C" w:rsidRPr="00247A22" w:rsidRDefault="0078361C">
      <w:pPr>
        <w:rPr>
          <w:rFonts w:ascii="Tahoma" w:hAnsi="Tahoma" w:cs="Tahoma"/>
        </w:rPr>
      </w:pPr>
    </w:p>
    <w:p w:rsidR="0078361C" w:rsidRPr="00247A22" w:rsidRDefault="0078361C">
      <w:pPr>
        <w:rPr>
          <w:rFonts w:ascii="Tahoma" w:hAnsi="Tahoma" w:cs="Tahoma"/>
        </w:rPr>
      </w:pPr>
    </w:p>
    <w:p w:rsidR="0078361C" w:rsidRPr="00247A22" w:rsidRDefault="0078361C">
      <w:pPr>
        <w:rPr>
          <w:rFonts w:ascii="Tahoma" w:hAnsi="Tahoma" w:cs="Tahoma"/>
        </w:rPr>
      </w:pPr>
    </w:p>
    <w:p w:rsidR="0078361C" w:rsidRPr="00247A22" w:rsidRDefault="0078361C">
      <w:pPr>
        <w:rPr>
          <w:rFonts w:ascii="Tahoma" w:hAnsi="Tahoma" w:cs="Tahoma"/>
        </w:rPr>
      </w:pPr>
    </w:p>
    <w:p w:rsidR="0078361C" w:rsidRPr="00247A22" w:rsidRDefault="0078361C">
      <w:pPr>
        <w:rPr>
          <w:rFonts w:ascii="Tahoma" w:hAnsi="Tahoma" w:cs="Tahoma"/>
        </w:rPr>
      </w:pPr>
    </w:p>
    <w:p w:rsidR="0078361C" w:rsidRPr="00247A22" w:rsidRDefault="0078361C">
      <w:pPr>
        <w:rPr>
          <w:rFonts w:ascii="Tahoma" w:hAnsi="Tahoma" w:cs="Tahoma"/>
        </w:rPr>
      </w:pPr>
    </w:p>
    <w:sectPr w:rsidR="0078361C" w:rsidRPr="00247A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8"/>
    <w:rsid w:val="000C208D"/>
    <w:rsid w:val="001D52E8"/>
    <w:rsid w:val="00247A22"/>
    <w:rsid w:val="00694329"/>
    <w:rsid w:val="0078361C"/>
    <w:rsid w:val="00FF62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4980">
      <w:bodyDiv w:val="1"/>
      <w:marLeft w:val="0"/>
      <w:marRight w:val="0"/>
      <w:marTop w:val="0"/>
      <w:marBottom w:val="0"/>
      <w:divBdr>
        <w:top w:val="none" w:sz="0" w:space="0" w:color="auto"/>
        <w:left w:val="none" w:sz="0" w:space="0" w:color="auto"/>
        <w:bottom w:val="none" w:sz="0" w:space="0" w:color="auto"/>
        <w:right w:val="none" w:sz="0" w:space="0" w:color="auto"/>
      </w:divBdr>
      <w:divsChild>
        <w:div w:id="1454715514">
          <w:marLeft w:val="0"/>
          <w:marRight w:val="0"/>
          <w:marTop w:val="0"/>
          <w:marBottom w:val="0"/>
          <w:divBdr>
            <w:top w:val="none" w:sz="0" w:space="0" w:color="auto"/>
            <w:left w:val="none" w:sz="0" w:space="0" w:color="auto"/>
            <w:bottom w:val="none" w:sz="0" w:space="0" w:color="auto"/>
            <w:right w:val="none" w:sz="0" w:space="0" w:color="auto"/>
          </w:divBdr>
          <w:divsChild>
            <w:div w:id="183519106">
              <w:marLeft w:val="0"/>
              <w:marRight w:val="0"/>
              <w:marTop w:val="0"/>
              <w:marBottom w:val="0"/>
              <w:divBdr>
                <w:top w:val="none" w:sz="0" w:space="0" w:color="auto"/>
                <w:left w:val="none" w:sz="0" w:space="0" w:color="auto"/>
                <w:bottom w:val="none" w:sz="0" w:space="0" w:color="auto"/>
                <w:right w:val="none" w:sz="0" w:space="0" w:color="auto"/>
              </w:divBdr>
              <w:divsChild>
                <w:div w:id="1114399461">
                  <w:marLeft w:val="-225"/>
                  <w:marRight w:val="-225"/>
                  <w:marTop w:val="0"/>
                  <w:marBottom w:val="0"/>
                  <w:divBdr>
                    <w:top w:val="none" w:sz="0" w:space="0" w:color="auto"/>
                    <w:left w:val="none" w:sz="0" w:space="0" w:color="auto"/>
                    <w:bottom w:val="none" w:sz="0" w:space="0" w:color="auto"/>
                    <w:right w:val="none" w:sz="0" w:space="0" w:color="auto"/>
                  </w:divBdr>
                  <w:divsChild>
                    <w:div w:id="1220046517">
                      <w:marLeft w:val="0"/>
                      <w:marRight w:val="0"/>
                      <w:marTop w:val="0"/>
                      <w:marBottom w:val="0"/>
                      <w:divBdr>
                        <w:top w:val="none" w:sz="0" w:space="0" w:color="auto"/>
                        <w:left w:val="none" w:sz="0" w:space="0" w:color="auto"/>
                        <w:bottom w:val="none" w:sz="0" w:space="0" w:color="auto"/>
                        <w:right w:val="none" w:sz="0" w:space="0" w:color="auto"/>
                      </w:divBdr>
                      <w:divsChild>
                        <w:div w:id="801731210">
                          <w:marLeft w:val="-225"/>
                          <w:marRight w:val="-225"/>
                          <w:marTop w:val="0"/>
                          <w:marBottom w:val="0"/>
                          <w:divBdr>
                            <w:top w:val="none" w:sz="0" w:space="0" w:color="auto"/>
                            <w:left w:val="none" w:sz="0" w:space="0" w:color="auto"/>
                            <w:bottom w:val="none" w:sz="0" w:space="0" w:color="auto"/>
                            <w:right w:val="none" w:sz="0" w:space="0" w:color="auto"/>
                          </w:divBdr>
                          <w:divsChild>
                            <w:div w:id="1048458672">
                              <w:marLeft w:val="0"/>
                              <w:marRight w:val="0"/>
                              <w:marTop w:val="0"/>
                              <w:marBottom w:val="0"/>
                              <w:divBdr>
                                <w:top w:val="none" w:sz="0" w:space="0" w:color="auto"/>
                                <w:left w:val="none" w:sz="0" w:space="0" w:color="auto"/>
                                <w:bottom w:val="none" w:sz="0" w:space="0" w:color="auto"/>
                                <w:right w:val="none" w:sz="0" w:space="0" w:color="auto"/>
                              </w:divBdr>
                              <w:divsChild>
                                <w:div w:id="172230715">
                                  <w:marLeft w:val="0"/>
                                  <w:marRight w:val="0"/>
                                  <w:marTop w:val="0"/>
                                  <w:marBottom w:val="0"/>
                                  <w:divBdr>
                                    <w:top w:val="none" w:sz="0" w:space="0" w:color="auto"/>
                                    <w:left w:val="none" w:sz="0" w:space="0" w:color="auto"/>
                                    <w:bottom w:val="none" w:sz="0" w:space="0" w:color="auto"/>
                                    <w:right w:val="none" w:sz="0" w:space="0" w:color="auto"/>
                                  </w:divBdr>
                                  <w:divsChild>
                                    <w:div w:id="794254286">
                                      <w:marLeft w:val="-225"/>
                                      <w:marRight w:val="-225"/>
                                      <w:marTop w:val="0"/>
                                      <w:marBottom w:val="0"/>
                                      <w:divBdr>
                                        <w:top w:val="none" w:sz="0" w:space="0" w:color="auto"/>
                                        <w:left w:val="none" w:sz="0" w:space="0" w:color="auto"/>
                                        <w:bottom w:val="none" w:sz="0" w:space="0" w:color="auto"/>
                                        <w:right w:val="none" w:sz="0" w:space="0" w:color="auto"/>
                                      </w:divBdr>
                                      <w:divsChild>
                                        <w:div w:id="785347280">
                                          <w:marLeft w:val="0"/>
                                          <w:marRight w:val="0"/>
                                          <w:marTop w:val="0"/>
                                          <w:marBottom w:val="0"/>
                                          <w:divBdr>
                                            <w:top w:val="none" w:sz="0" w:space="0" w:color="auto"/>
                                            <w:left w:val="none" w:sz="0" w:space="0" w:color="auto"/>
                                            <w:bottom w:val="none" w:sz="0" w:space="0" w:color="auto"/>
                                            <w:right w:val="none" w:sz="0" w:space="0" w:color="auto"/>
                                          </w:divBdr>
                                          <w:divsChild>
                                            <w:div w:id="126125886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217239">
      <w:bodyDiv w:val="1"/>
      <w:marLeft w:val="0"/>
      <w:marRight w:val="0"/>
      <w:marTop w:val="0"/>
      <w:marBottom w:val="0"/>
      <w:divBdr>
        <w:top w:val="none" w:sz="0" w:space="0" w:color="auto"/>
        <w:left w:val="none" w:sz="0" w:space="0" w:color="auto"/>
        <w:bottom w:val="none" w:sz="0" w:space="0" w:color="auto"/>
        <w:right w:val="none" w:sz="0" w:space="0" w:color="auto"/>
      </w:divBdr>
      <w:divsChild>
        <w:div w:id="479157842">
          <w:marLeft w:val="0"/>
          <w:marRight w:val="0"/>
          <w:marTop w:val="0"/>
          <w:marBottom w:val="0"/>
          <w:divBdr>
            <w:top w:val="none" w:sz="0" w:space="0" w:color="auto"/>
            <w:left w:val="none" w:sz="0" w:space="0" w:color="auto"/>
            <w:bottom w:val="none" w:sz="0" w:space="0" w:color="auto"/>
            <w:right w:val="none" w:sz="0" w:space="0" w:color="auto"/>
          </w:divBdr>
          <w:divsChild>
            <w:div w:id="1828551609">
              <w:marLeft w:val="0"/>
              <w:marRight w:val="0"/>
              <w:marTop w:val="0"/>
              <w:marBottom w:val="0"/>
              <w:divBdr>
                <w:top w:val="none" w:sz="0" w:space="0" w:color="auto"/>
                <w:left w:val="none" w:sz="0" w:space="0" w:color="auto"/>
                <w:bottom w:val="none" w:sz="0" w:space="0" w:color="auto"/>
                <w:right w:val="none" w:sz="0" w:space="0" w:color="auto"/>
              </w:divBdr>
              <w:divsChild>
                <w:div w:id="1170490255">
                  <w:marLeft w:val="-225"/>
                  <w:marRight w:val="-225"/>
                  <w:marTop w:val="0"/>
                  <w:marBottom w:val="0"/>
                  <w:divBdr>
                    <w:top w:val="none" w:sz="0" w:space="0" w:color="auto"/>
                    <w:left w:val="none" w:sz="0" w:space="0" w:color="auto"/>
                    <w:bottom w:val="none" w:sz="0" w:space="0" w:color="auto"/>
                    <w:right w:val="none" w:sz="0" w:space="0" w:color="auto"/>
                  </w:divBdr>
                  <w:divsChild>
                    <w:div w:id="8408124">
                      <w:marLeft w:val="0"/>
                      <w:marRight w:val="0"/>
                      <w:marTop w:val="0"/>
                      <w:marBottom w:val="0"/>
                      <w:divBdr>
                        <w:top w:val="none" w:sz="0" w:space="0" w:color="auto"/>
                        <w:left w:val="none" w:sz="0" w:space="0" w:color="auto"/>
                        <w:bottom w:val="none" w:sz="0" w:space="0" w:color="auto"/>
                        <w:right w:val="none" w:sz="0" w:space="0" w:color="auto"/>
                      </w:divBdr>
                      <w:divsChild>
                        <w:div w:id="492915464">
                          <w:marLeft w:val="-225"/>
                          <w:marRight w:val="-225"/>
                          <w:marTop w:val="0"/>
                          <w:marBottom w:val="0"/>
                          <w:divBdr>
                            <w:top w:val="none" w:sz="0" w:space="0" w:color="auto"/>
                            <w:left w:val="none" w:sz="0" w:space="0" w:color="auto"/>
                            <w:bottom w:val="none" w:sz="0" w:space="0" w:color="auto"/>
                            <w:right w:val="none" w:sz="0" w:space="0" w:color="auto"/>
                          </w:divBdr>
                          <w:divsChild>
                            <w:div w:id="2018924698">
                              <w:marLeft w:val="0"/>
                              <w:marRight w:val="0"/>
                              <w:marTop w:val="0"/>
                              <w:marBottom w:val="0"/>
                              <w:divBdr>
                                <w:top w:val="none" w:sz="0" w:space="0" w:color="auto"/>
                                <w:left w:val="none" w:sz="0" w:space="0" w:color="auto"/>
                                <w:bottom w:val="none" w:sz="0" w:space="0" w:color="auto"/>
                                <w:right w:val="none" w:sz="0" w:space="0" w:color="auto"/>
                              </w:divBdr>
                              <w:divsChild>
                                <w:div w:id="507213849">
                                  <w:marLeft w:val="0"/>
                                  <w:marRight w:val="0"/>
                                  <w:marTop w:val="0"/>
                                  <w:marBottom w:val="0"/>
                                  <w:divBdr>
                                    <w:top w:val="none" w:sz="0" w:space="0" w:color="auto"/>
                                    <w:left w:val="none" w:sz="0" w:space="0" w:color="auto"/>
                                    <w:bottom w:val="none" w:sz="0" w:space="0" w:color="auto"/>
                                    <w:right w:val="none" w:sz="0" w:space="0" w:color="auto"/>
                                  </w:divBdr>
                                  <w:divsChild>
                                    <w:div w:id="1872188953">
                                      <w:marLeft w:val="-225"/>
                                      <w:marRight w:val="-225"/>
                                      <w:marTop w:val="0"/>
                                      <w:marBottom w:val="0"/>
                                      <w:divBdr>
                                        <w:top w:val="none" w:sz="0" w:space="0" w:color="auto"/>
                                        <w:left w:val="none" w:sz="0" w:space="0" w:color="auto"/>
                                        <w:bottom w:val="none" w:sz="0" w:space="0" w:color="auto"/>
                                        <w:right w:val="none" w:sz="0" w:space="0" w:color="auto"/>
                                      </w:divBdr>
                                      <w:divsChild>
                                        <w:div w:id="779184365">
                                          <w:marLeft w:val="0"/>
                                          <w:marRight w:val="0"/>
                                          <w:marTop w:val="0"/>
                                          <w:marBottom w:val="0"/>
                                          <w:divBdr>
                                            <w:top w:val="none" w:sz="0" w:space="0" w:color="auto"/>
                                            <w:left w:val="none" w:sz="0" w:space="0" w:color="auto"/>
                                            <w:bottom w:val="none" w:sz="0" w:space="0" w:color="auto"/>
                                            <w:right w:val="none" w:sz="0" w:space="0" w:color="auto"/>
                                          </w:divBdr>
                                          <w:divsChild>
                                            <w:div w:id="987588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38809">
      <w:bodyDiv w:val="1"/>
      <w:marLeft w:val="0"/>
      <w:marRight w:val="0"/>
      <w:marTop w:val="0"/>
      <w:marBottom w:val="0"/>
      <w:divBdr>
        <w:top w:val="none" w:sz="0" w:space="0" w:color="auto"/>
        <w:left w:val="none" w:sz="0" w:space="0" w:color="auto"/>
        <w:bottom w:val="none" w:sz="0" w:space="0" w:color="auto"/>
        <w:right w:val="none" w:sz="0" w:space="0" w:color="auto"/>
      </w:divBdr>
      <w:divsChild>
        <w:div w:id="550576932">
          <w:marLeft w:val="0"/>
          <w:marRight w:val="0"/>
          <w:marTop w:val="0"/>
          <w:marBottom w:val="0"/>
          <w:divBdr>
            <w:top w:val="none" w:sz="0" w:space="0" w:color="auto"/>
            <w:left w:val="none" w:sz="0" w:space="0" w:color="auto"/>
            <w:bottom w:val="none" w:sz="0" w:space="0" w:color="auto"/>
            <w:right w:val="none" w:sz="0" w:space="0" w:color="auto"/>
          </w:divBdr>
          <w:divsChild>
            <w:div w:id="1588999176">
              <w:marLeft w:val="0"/>
              <w:marRight w:val="0"/>
              <w:marTop w:val="0"/>
              <w:marBottom w:val="0"/>
              <w:divBdr>
                <w:top w:val="none" w:sz="0" w:space="0" w:color="auto"/>
                <w:left w:val="none" w:sz="0" w:space="0" w:color="auto"/>
                <w:bottom w:val="none" w:sz="0" w:space="0" w:color="auto"/>
                <w:right w:val="none" w:sz="0" w:space="0" w:color="auto"/>
              </w:divBdr>
              <w:divsChild>
                <w:div w:id="894121713">
                  <w:marLeft w:val="-225"/>
                  <w:marRight w:val="-225"/>
                  <w:marTop w:val="0"/>
                  <w:marBottom w:val="0"/>
                  <w:divBdr>
                    <w:top w:val="none" w:sz="0" w:space="0" w:color="auto"/>
                    <w:left w:val="none" w:sz="0" w:space="0" w:color="auto"/>
                    <w:bottom w:val="none" w:sz="0" w:space="0" w:color="auto"/>
                    <w:right w:val="none" w:sz="0" w:space="0" w:color="auto"/>
                  </w:divBdr>
                  <w:divsChild>
                    <w:div w:id="36779937">
                      <w:marLeft w:val="0"/>
                      <w:marRight w:val="0"/>
                      <w:marTop w:val="0"/>
                      <w:marBottom w:val="0"/>
                      <w:divBdr>
                        <w:top w:val="none" w:sz="0" w:space="0" w:color="auto"/>
                        <w:left w:val="none" w:sz="0" w:space="0" w:color="auto"/>
                        <w:bottom w:val="none" w:sz="0" w:space="0" w:color="auto"/>
                        <w:right w:val="none" w:sz="0" w:space="0" w:color="auto"/>
                      </w:divBdr>
                      <w:divsChild>
                        <w:div w:id="1963607669">
                          <w:marLeft w:val="-225"/>
                          <w:marRight w:val="-225"/>
                          <w:marTop w:val="0"/>
                          <w:marBottom w:val="0"/>
                          <w:divBdr>
                            <w:top w:val="none" w:sz="0" w:space="0" w:color="auto"/>
                            <w:left w:val="none" w:sz="0" w:space="0" w:color="auto"/>
                            <w:bottom w:val="none" w:sz="0" w:space="0" w:color="auto"/>
                            <w:right w:val="none" w:sz="0" w:space="0" w:color="auto"/>
                          </w:divBdr>
                          <w:divsChild>
                            <w:div w:id="1124689847">
                              <w:marLeft w:val="0"/>
                              <w:marRight w:val="0"/>
                              <w:marTop w:val="0"/>
                              <w:marBottom w:val="0"/>
                              <w:divBdr>
                                <w:top w:val="none" w:sz="0" w:space="0" w:color="auto"/>
                                <w:left w:val="none" w:sz="0" w:space="0" w:color="auto"/>
                                <w:bottom w:val="none" w:sz="0" w:space="0" w:color="auto"/>
                                <w:right w:val="none" w:sz="0" w:space="0" w:color="auto"/>
                              </w:divBdr>
                              <w:divsChild>
                                <w:div w:id="1861620956">
                                  <w:marLeft w:val="0"/>
                                  <w:marRight w:val="0"/>
                                  <w:marTop w:val="0"/>
                                  <w:marBottom w:val="0"/>
                                  <w:divBdr>
                                    <w:top w:val="none" w:sz="0" w:space="0" w:color="auto"/>
                                    <w:left w:val="none" w:sz="0" w:space="0" w:color="auto"/>
                                    <w:bottom w:val="none" w:sz="0" w:space="0" w:color="auto"/>
                                    <w:right w:val="none" w:sz="0" w:space="0" w:color="auto"/>
                                  </w:divBdr>
                                  <w:divsChild>
                                    <w:div w:id="1231116677">
                                      <w:marLeft w:val="-225"/>
                                      <w:marRight w:val="-225"/>
                                      <w:marTop w:val="0"/>
                                      <w:marBottom w:val="0"/>
                                      <w:divBdr>
                                        <w:top w:val="none" w:sz="0" w:space="0" w:color="auto"/>
                                        <w:left w:val="none" w:sz="0" w:space="0" w:color="auto"/>
                                        <w:bottom w:val="none" w:sz="0" w:space="0" w:color="auto"/>
                                        <w:right w:val="none" w:sz="0" w:space="0" w:color="auto"/>
                                      </w:divBdr>
                                      <w:divsChild>
                                        <w:div w:id="1253054154">
                                          <w:marLeft w:val="0"/>
                                          <w:marRight w:val="0"/>
                                          <w:marTop w:val="0"/>
                                          <w:marBottom w:val="0"/>
                                          <w:divBdr>
                                            <w:top w:val="none" w:sz="0" w:space="0" w:color="auto"/>
                                            <w:left w:val="none" w:sz="0" w:space="0" w:color="auto"/>
                                            <w:bottom w:val="none" w:sz="0" w:space="0" w:color="auto"/>
                                            <w:right w:val="none" w:sz="0" w:space="0" w:color="auto"/>
                                          </w:divBdr>
                                          <w:divsChild>
                                            <w:div w:id="8212408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08031">
      <w:bodyDiv w:val="1"/>
      <w:marLeft w:val="0"/>
      <w:marRight w:val="0"/>
      <w:marTop w:val="0"/>
      <w:marBottom w:val="0"/>
      <w:divBdr>
        <w:top w:val="none" w:sz="0" w:space="0" w:color="auto"/>
        <w:left w:val="none" w:sz="0" w:space="0" w:color="auto"/>
        <w:bottom w:val="none" w:sz="0" w:space="0" w:color="auto"/>
        <w:right w:val="none" w:sz="0" w:space="0" w:color="auto"/>
      </w:divBdr>
      <w:divsChild>
        <w:div w:id="1296712954">
          <w:marLeft w:val="0"/>
          <w:marRight w:val="0"/>
          <w:marTop w:val="0"/>
          <w:marBottom w:val="0"/>
          <w:divBdr>
            <w:top w:val="none" w:sz="0" w:space="0" w:color="auto"/>
            <w:left w:val="none" w:sz="0" w:space="0" w:color="auto"/>
            <w:bottom w:val="none" w:sz="0" w:space="0" w:color="auto"/>
            <w:right w:val="none" w:sz="0" w:space="0" w:color="auto"/>
          </w:divBdr>
          <w:divsChild>
            <w:div w:id="756753849">
              <w:marLeft w:val="0"/>
              <w:marRight w:val="0"/>
              <w:marTop w:val="0"/>
              <w:marBottom w:val="0"/>
              <w:divBdr>
                <w:top w:val="none" w:sz="0" w:space="0" w:color="auto"/>
                <w:left w:val="none" w:sz="0" w:space="0" w:color="auto"/>
                <w:bottom w:val="none" w:sz="0" w:space="0" w:color="auto"/>
                <w:right w:val="none" w:sz="0" w:space="0" w:color="auto"/>
              </w:divBdr>
              <w:divsChild>
                <w:div w:id="520750832">
                  <w:marLeft w:val="-225"/>
                  <w:marRight w:val="-225"/>
                  <w:marTop w:val="0"/>
                  <w:marBottom w:val="0"/>
                  <w:divBdr>
                    <w:top w:val="none" w:sz="0" w:space="0" w:color="auto"/>
                    <w:left w:val="none" w:sz="0" w:space="0" w:color="auto"/>
                    <w:bottom w:val="none" w:sz="0" w:space="0" w:color="auto"/>
                    <w:right w:val="none" w:sz="0" w:space="0" w:color="auto"/>
                  </w:divBdr>
                  <w:divsChild>
                    <w:div w:id="441147596">
                      <w:marLeft w:val="0"/>
                      <w:marRight w:val="0"/>
                      <w:marTop w:val="0"/>
                      <w:marBottom w:val="0"/>
                      <w:divBdr>
                        <w:top w:val="none" w:sz="0" w:space="0" w:color="auto"/>
                        <w:left w:val="none" w:sz="0" w:space="0" w:color="auto"/>
                        <w:bottom w:val="none" w:sz="0" w:space="0" w:color="auto"/>
                        <w:right w:val="none" w:sz="0" w:space="0" w:color="auto"/>
                      </w:divBdr>
                      <w:divsChild>
                        <w:div w:id="830676671">
                          <w:marLeft w:val="-225"/>
                          <w:marRight w:val="-225"/>
                          <w:marTop w:val="0"/>
                          <w:marBottom w:val="0"/>
                          <w:divBdr>
                            <w:top w:val="none" w:sz="0" w:space="0" w:color="auto"/>
                            <w:left w:val="none" w:sz="0" w:space="0" w:color="auto"/>
                            <w:bottom w:val="none" w:sz="0" w:space="0" w:color="auto"/>
                            <w:right w:val="none" w:sz="0" w:space="0" w:color="auto"/>
                          </w:divBdr>
                          <w:divsChild>
                            <w:div w:id="1191918554">
                              <w:marLeft w:val="0"/>
                              <w:marRight w:val="0"/>
                              <w:marTop w:val="0"/>
                              <w:marBottom w:val="0"/>
                              <w:divBdr>
                                <w:top w:val="none" w:sz="0" w:space="0" w:color="auto"/>
                                <w:left w:val="none" w:sz="0" w:space="0" w:color="auto"/>
                                <w:bottom w:val="none" w:sz="0" w:space="0" w:color="auto"/>
                                <w:right w:val="none" w:sz="0" w:space="0" w:color="auto"/>
                              </w:divBdr>
                              <w:divsChild>
                                <w:div w:id="1382169356">
                                  <w:marLeft w:val="0"/>
                                  <w:marRight w:val="0"/>
                                  <w:marTop w:val="0"/>
                                  <w:marBottom w:val="0"/>
                                  <w:divBdr>
                                    <w:top w:val="none" w:sz="0" w:space="0" w:color="auto"/>
                                    <w:left w:val="none" w:sz="0" w:space="0" w:color="auto"/>
                                    <w:bottom w:val="none" w:sz="0" w:space="0" w:color="auto"/>
                                    <w:right w:val="none" w:sz="0" w:space="0" w:color="auto"/>
                                  </w:divBdr>
                                  <w:divsChild>
                                    <w:div w:id="364605036">
                                      <w:marLeft w:val="-225"/>
                                      <w:marRight w:val="-225"/>
                                      <w:marTop w:val="0"/>
                                      <w:marBottom w:val="0"/>
                                      <w:divBdr>
                                        <w:top w:val="none" w:sz="0" w:space="0" w:color="auto"/>
                                        <w:left w:val="none" w:sz="0" w:space="0" w:color="auto"/>
                                        <w:bottom w:val="none" w:sz="0" w:space="0" w:color="auto"/>
                                        <w:right w:val="none" w:sz="0" w:space="0" w:color="auto"/>
                                      </w:divBdr>
                                      <w:divsChild>
                                        <w:div w:id="965548057">
                                          <w:marLeft w:val="0"/>
                                          <w:marRight w:val="0"/>
                                          <w:marTop w:val="0"/>
                                          <w:marBottom w:val="0"/>
                                          <w:divBdr>
                                            <w:top w:val="none" w:sz="0" w:space="0" w:color="auto"/>
                                            <w:left w:val="none" w:sz="0" w:space="0" w:color="auto"/>
                                            <w:bottom w:val="none" w:sz="0" w:space="0" w:color="auto"/>
                                            <w:right w:val="none" w:sz="0" w:space="0" w:color="auto"/>
                                          </w:divBdr>
                                          <w:divsChild>
                                            <w:div w:id="34317286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215271">
      <w:bodyDiv w:val="1"/>
      <w:marLeft w:val="0"/>
      <w:marRight w:val="0"/>
      <w:marTop w:val="0"/>
      <w:marBottom w:val="0"/>
      <w:divBdr>
        <w:top w:val="none" w:sz="0" w:space="0" w:color="auto"/>
        <w:left w:val="none" w:sz="0" w:space="0" w:color="auto"/>
        <w:bottom w:val="none" w:sz="0" w:space="0" w:color="auto"/>
        <w:right w:val="none" w:sz="0" w:space="0" w:color="auto"/>
      </w:divBdr>
      <w:divsChild>
        <w:div w:id="975723806">
          <w:marLeft w:val="0"/>
          <w:marRight w:val="0"/>
          <w:marTop w:val="0"/>
          <w:marBottom w:val="0"/>
          <w:divBdr>
            <w:top w:val="none" w:sz="0" w:space="0" w:color="auto"/>
            <w:left w:val="none" w:sz="0" w:space="0" w:color="auto"/>
            <w:bottom w:val="none" w:sz="0" w:space="0" w:color="auto"/>
            <w:right w:val="none" w:sz="0" w:space="0" w:color="auto"/>
          </w:divBdr>
          <w:divsChild>
            <w:div w:id="1882159357">
              <w:marLeft w:val="0"/>
              <w:marRight w:val="0"/>
              <w:marTop w:val="0"/>
              <w:marBottom w:val="0"/>
              <w:divBdr>
                <w:top w:val="none" w:sz="0" w:space="0" w:color="auto"/>
                <w:left w:val="none" w:sz="0" w:space="0" w:color="auto"/>
                <w:bottom w:val="none" w:sz="0" w:space="0" w:color="auto"/>
                <w:right w:val="none" w:sz="0" w:space="0" w:color="auto"/>
              </w:divBdr>
              <w:divsChild>
                <w:div w:id="2060353111">
                  <w:marLeft w:val="-225"/>
                  <w:marRight w:val="-225"/>
                  <w:marTop w:val="0"/>
                  <w:marBottom w:val="0"/>
                  <w:divBdr>
                    <w:top w:val="none" w:sz="0" w:space="0" w:color="auto"/>
                    <w:left w:val="none" w:sz="0" w:space="0" w:color="auto"/>
                    <w:bottom w:val="none" w:sz="0" w:space="0" w:color="auto"/>
                    <w:right w:val="none" w:sz="0" w:space="0" w:color="auto"/>
                  </w:divBdr>
                  <w:divsChild>
                    <w:div w:id="521943471">
                      <w:marLeft w:val="0"/>
                      <w:marRight w:val="0"/>
                      <w:marTop w:val="0"/>
                      <w:marBottom w:val="0"/>
                      <w:divBdr>
                        <w:top w:val="none" w:sz="0" w:space="0" w:color="auto"/>
                        <w:left w:val="none" w:sz="0" w:space="0" w:color="auto"/>
                        <w:bottom w:val="none" w:sz="0" w:space="0" w:color="auto"/>
                        <w:right w:val="none" w:sz="0" w:space="0" w:color="auto"/>
                      </w:divBdr>
                      <w:divsChild>
                        <w:div w:id="570893759">
                          <w:marLeft w:val="-225"/>
                          <w:marRight w:val="-225"/>
                          <w:marTop w:val="0"/>
                          <w:marBottom w:val="0"/>
                          <w:divBdr>
                            <w:top w:val="none" w:sz="0" w:space="0" w:color="auto"/>
                            <w:left w:val="none" w:sz="0" w:space="0" w:color="auto"/>
                            <w:bottom w:val="none" w:sz="0" w:space="0" w:color="auto"/>
                            <w:right w:val="none" w:sz="0" w:space="0" w:color="auto"/>
                          </w:divBdr>
                          <w:divsChild>
                            <w:div w:id="36928144">
                              <w:marLeft w:val="0"/>
                              <w:marRight w:val="0"/>
                              <w:marTop w:val="0"/>
                              <w:marBottom w:val="0"/>
                              <w:divBdr>
                                <w:top w:val="none" w:sz="0" w:space="0" w:color="auto"/>
                                <w:left w:val="none" w:sz="0" w:space="0" w:color="auto"/>
                                <w:bottom w:val="none" w:sz="0" w:space="0" w:color="auto"/>
                                <w:right w:val="none" w:sz="0" w:space="0" w:color="auto"/>
                              </w:divBdr>
                              <w:divsChild>
                                <w:div w:id="580524948">
                                  <w:marLeft w:val="0"/>
                                  <w:marRight w:val="0"/>
                                  <w:marTop w:val="0"/>
                                  <w:marBottom w:val="0"/>
                                  <w:divBdr>
                                    <w:top w:val="none" w:sz="0" w:space="0" w:color="auto"/>
                                    <w:left w:val="none" w:sz="0" w:space="0" w:color="auto"/>
                                    <w:bottom w:val="none" w:sz="0" w:space="0" w:color="auto"/>
                                    <w:right w:val="none" w:sz="0" w:space="0" w:color="auto"/>
                                  </w:divBdr>
                                  <w:divsChild>
                                    <w:div w:id="178736955">
                                      <w:marLeft w:val="-225"/>
                                      <w:marRight w:val="-225"/>
                                      <w:marTop w:val="0"/>
                                      <w:marBottom w:val="0"/>
                                      <w:divBdr>
                                        <w:top w:val="none" w:sz="0" w:space="0" w:color="auto"/>
                                        <w:left w:val="none" w:sz="0" w:space="0" w:color="auto"/>
                                        <w:bottom w:val="none" w:sz="0" w:space="0" w:color="auto"/>
                                        <w:right w:val="none" w:sz="0" w:space="0" w:color="auto"/>
                                      </w:divBdr>
                                      <w:divsChild>
                                        <w:div w:id="1376153708">
                                          <w:marLeft w:val="0"/>
                                          <w:marRight w:val="0"/>
                                          <w:marTop w:val="0"/>
                                          <w:marBottom w:val="0"/>
                                          <w:divBdr>
                                            <w:top w:val="none" w:sz="0" w:space="0" w:color="auto"/>
                                            <w:left w:val="none" w:sz="0" w:space="0" w:color="auto"/>
                                            <w:bottom w:val="none" w:sz="0" w:space="0" w:color="auto"/>
                                            <w:right w:val="none" w:sz="0" w:space="0" w:color="auto"/>
                                          </w:divBdr>
                                          <w:divsChild>
                                            <w:div w:id="18423552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395237">
      <w:bodyDiv w:val="1"/>
      <w:marLeft w:val="0"/>
      <w:marRight w:val="0"/>
      <w:marTop w:val="0"/>
      <w:marBottom w:val="0"/>
      <w:divBdr>
        <w:top w:val="none" w:sz="0" w:space="0" w:color="auto"/>
        <w:left w:val="none" w:sz="0" w:space="0" w:color="auto"/>
        <w:bottom w:val="none" w:sz="0" w:space="0" w:color="auto"/>
        <w:right w:val="none" w:sz="0" w:space="0" w:color="auto"/>
      </w:divBdr>
      <w:divsChild>
        <w:div w:id="1779330115">
          <w:marLeft w:val="0"/>
          <w:marRight w:val="0"/>
          <w:marTop w:val="0"/>
          <w:marBottom w:val="0"/>
          <w:divBdr>
            <w:top w:val="none" w:sz="0" w:space="0" w:color="auto"/>
            <w:left w:val="none" w:sz="0" w:space="0" w:color="auto"/>
            <w:bottom w:val="none" w:sz="0" w:space="0" w:color="auto"/>
            <w:right w:val="none" w:sz="0" w:space="0" w:color="auto"/>
          </w:divBdr>
          <w:divsChild>
            <w:div w:id="263419134">
              <w:marLeft w:val="0"/>
              <w:marRight w:val="0"/>
              <w:marTop w:val="0"/>
              <w:marBottom w:val="0"/>
              <w:divBdr>
                <w:top w:val="none" w:sz="0" w:space="0" w:color="auto"/>
                <w:left w:val="none" w:sz="0" w:space="0" w:color="auto"/>
                <w:bottom w:val="none" w:sz="0" w:space="0" w:color="auto"/>
                <w:right w:val="none" w:sz="0" w:space="0" w:color="auto"/>
              </w:divBdr>
              <w:divsChild>
                <w:div w:id="599527065">
                  <w:marLeft w:val="-225"/>
                  <w:marRight w:val="-225"/>
                  <w:marTop w:val="0"/>
                  <w:marBottom w:val="0"/>
                  <w:divBdr>
                    <w:top w:val="none" w:sz="0" w:space="0" w:color="auto"/>
                    <w:left w:val="none" w:sz="0" w:space="0" w:color="auto"/>
                    <w:bottom w:val="none" w:sz="0" w:space="0" w:color="auto"/>
                    <w:right w:val="none" w:sz="0" w:space="0" w:color="auto"/>
                  </w:divBdr>
                  <w:divsChild>
                    <w:div w:id="1580598336">
                      <w:marLeft w:val="0"/>
                      <w:marRight w:val="0"/>
                      <w:marTop w:val="0"/>
                      <w:marBottom w:val="0"/>
                      <w:divBdr>
                        <w:top w:val="none" w:sz="0" w:space="0" w:color="auto"/>
                        <w:left w:val="none" w:sz="0" w:space="0" w:color="auto"/>
                        <w:bottom w:val="none" w:sz="0" w:space="0" w:color="auto"/>
                        <w:right w:val="none" w:sz="0" w:space="0" w:color="auto"/>
                      </w:divBdr>
                      <w:divsChild>
                        <w:div w:id="1479223785">
                          <w:marLeft w:val="-225"/>
                          <w:marRight w:val="-225"/>
                          <w:marTop w:val="0"/>
                          <w:marBottom w:val="0"/>
                          <w:divBdr>
                            <w:top w:val="none" w:sz="0" w:space="0" w:color="auto"/>
                            <w:left w:val="none" w:sz="0" w:space="0" w:color="auto"/>
                            <w:bottom w:val="none" w:sz="0" w:space="0" w:color="auto"/>
                            <w:right w:val="none" w:sz="0" w:space="0" w:color="auto"/>
                          </w:divBdr>
                          <w:divsChild>
                            <w:div w:id="1157963994">
                              <w:marLeft w:val="0"/>
                              <w:marRight w:val="0"/>
                              <w:marTop w:val="0"/>
                              <w:marBottom w:val="0"/>
                              <w:divBdr>
                                <w:top w:val="none" w:sz="0" w:space="0" w:color="auto"/>
                                <w:left w:val="none" w:sz="0" w:space="0" w:color="auto"/>
                                <w:bottom w:val="none" w:sz="0" w:space="0" w:color="auto"/>
                                <w:right w:val="none" w:sz="0" w:space="0" w:color="auto"/>
                              </w:divBdr>
                              <w:divsChild>
                                <w:div w:id="632829083">
                                  <w:marLeft w:val="0"/>
                                  <w:marRight w:val="0"/>
                                  <w:marTop w:val="0"/>
                                  <w:marBottom w:val="0"/>
                                  <w:divBdr>
                                    <w:top w:val="none" w:sz="0" w:space="0" w:color="auto"/>
                                    <w:left w:val="none" w:sz="0" w:space="0" w:color="auto"/>
                                    <w:bottom w:val="none" w:sz="0" w:space="0" w:color="auto"/>
                                    <w:right w:val="none" w:sz="0" w:space="0" w:color="auto"/>
                                  </w:divBdr>
                                  <w:divsChild>
                                    <w:div w:id="1889142205">
                                      <w:marLeft w:val="-225"/>
                                      <w:marRight w:val="-225"/>
                                      <w:marTop w:val="0"/>
                                      <w:marBottom w:val="0"/>
                                      <w:divBdr>
                                        <w:top w:val="none" w:sz="0" w:space="0" w:color="auto"/>
                                        <w:left w:val="none" w:sz="0" w:space="0" w:color="auto"/>
                                        <w:bottom w:val="none" w:sz="0" w:space="0" w:color="auto"/>
                                        <w:right w:val="none" w:sz="0" w:space="0" w:color="auto"/>
                                      </w:divBdr>
                                      <w:divsChild>
                                        <w:div w:id="301350529">
                                          <w:marLeft w:val="0"/>
                                          <w:marRight w:val="0"/>
                                          <w:marTop w:val="0"/>
                                          <w:marBottom w:val="0"/>
                                          <w:divBdr>
                                            <w:top w:val="none" w:sz="0" w:space="0" w:color="auto"/>
                                            <w:left w:val="none" w:sz="0" w:space="0" w:color="auto"/>
                                            <w:bottom w:val="none" w:sz="0" w:space="0" w:color="auto"/>
                                            <w:right w:val="none" w:sz="0" w:space="0" w:color="auto"/>
                                          </w:divBdr>
                                          <w:divsChild>
                                            <w:div w:id="2732476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687132">
      <w:bodyDiv w:val="1"/>
      <w:marLeft w:val="0"/>
      <w:marRight w:val="0"/>
      <w:marTop w:val="0"/>
      <w:marBottom w:val="0"/>
      <w:divBdr>
        <w:top w:val="none" w:sz="0" w:space="0" w:color="auto"/>
        <w:left w:val="none" w:sz="0" w:space="0" w:color="auto"/>
        <w:bottom w:val="none" w:sz="0" w:space="0" w:color="auto"/>
        <w:right w:val="none" w:sz="0" w:space="0" w:color="auto"/>
      </w:divBdr>
      <w:divsChild>
        <w:div w:id="1960644795">
          <w:marLeft w:val="0"/>
          <w:marRight w:val="0"/>
          <w:marTop w:val="0"/>
          <w:marBottom w:val="0"/>
          <w:divBdr>
            <w:top w:val="none" w:sz="0" w:space="0" w:color="auto"/>
            <w:left w:val="none" w:sz="0" w:space="0" w:color="auto"/>
            <w:bottom w:val="none" w:sz="0" w:space="0" w:color="auto"/>
            <w:right w:val="none" w:sz="0" w:space="0" w:color="auto"/>
          </w:divBdr>
          <w:divsChild>
            <w:div w:id="418255159">
              <w:marLeft w:val="0"/>
              <w:marRight w:val="0"/>
              <w:marTop w:val="0"/>
              <w:marBottom w:val="0"/>
              <w:divBdr>
                <w:top w:val="none" w:sz="0" w:space="0" w:color="auto"/>
                <w:left w:val="none" w:sz="0" w:space="0" w:color="auto"/>
                <w:bottom w:val="none" w:sz="0" w:space="0" w:color="auto"/>
                <w:right w:val="none" w:sz="0" w:space="0" w:color="auto"/>
              </w:divBdr>
              <w:divsChild>
                <w:div w:id="567156228">
                  <w:marLeft w:val="-225"/>
                  <w:marRight w:val="-225"/>
                  <w:marTop w:val="0"/>
                  <w:marBottom w:val="0"/>
                  <w:divBdr>
                    <w:top w:val="none" w:sz="0" w:space="0" w:color="auto"/>
                    <w:left w:val="none" w:sz="0" w:space="0" w:color="auto"/>
                    <w:bottom w:val="none" w:sz="0" w:space="0" w:color="auto"/>
                    <w:right w:val="none" w:sz="0" w:space="0" w:color="auto"/>
                  </w:divBdr>
                  <w:divsChild>
                    <w:div w:id="1922523457">
                      <w:marLeft w:val="0"/>
                      <w:marRight w:val="0"/>
                      <w:marTop w:val="0"/>
                      <w:marBottom w:val="0"/>
                      <w:divBdr>
                        <w:top w:val="none" w:sz="0" w:space="0" w:color="auto"/>
                        <w:left w:val="none" w:sz="0" w:space="0" w:color="auto"/>
                        <w:bottom w:val="none" w:sz="0" w:space="0" w:color="auto"/>
                        <w:right w:val="none" w:sz="0" w:space="0" w:color="auto"/>
                      </w:divBdr>
                      <w:divsChild>
                        <w:div w:id="320891734">
                          <w:marLeft w:val="-225"/>
                          <w:marRight w:val="-225"/>
                          <w:marTop w:val="0"/>
                          <w:marBottom w:val="0"/>
                          <w:divBdr>
                            <w:top w:val="none" w:sz="0" w:space="0" w:color="auto"/>
                            <w:left w:val="none" w:sz="0" w:space="0" w:color="auto"/>
                            <w:bottom w:val="none" w:sz="0" w:space="0" w:color="auto"/>
                            <w:right w:val="none" w:sz="0" w:space="0" w:color="auto"/>
                          </w:divBdr>
                          <w:divsChild>
                            <w:div w:id="1519655735">
                              <w:marLeft w:val="0"/>
                              <w:marRight w:val="0"/>
                              <w:marTop w:val="0"/>
                              <w:marBottom w:val="0"/>
                              <w:divBdr>
                                <w:top w:val="none" w:sz="0" w:space="0" w:color="auto"/>
                                <w:left w:val="none" w:sz="0" w:space="0" w:color="auto"/>
                                <w:bottom w:val="none" w:sz="0" w:space="0" w:color="auto"/>
                                <w:right w:val="none" w:sz="0" w:space="0" w:color="auto"/>
                              </w:divBdr>
                              <w:divsChild>
                                <w:div w:id="1511720072">
                                  <w:marLeft w:val="0"/>
                                  <w:marRight w:val="0"/>
                                  <w:marTop w:val="0"/>
                                  <w:marBottom w:val="0"/>
                                  <w:divBdr>
                                    <w:top w:val="none" w:sz="0" w:space="0" w:color="auto"/>
                                    <w:left w:val="none" w:sz="0" w:space="0" w:color="auto"/>
                                    <w:bottom w:val="none" w:sz="0" w:space="0" w:color="auto"/>
                                    <w:right w:val="none" w:sz="0" w:space="0" w:color="auto"/>
                                  </w:divBdr>
                                  <w:divsChild>
                                    <w:div w:id="1914705810">
                                      <w:marLeft w:val="-225"/>
                                      <w:marRight w:val="-225"/>
                                      <w:marTop w:val="0"/>
                                      <w:marBottom w:val="0"/>
                                      <w:divBdr>
                                        <w:top w:val="none" w:sz="0" w:space="0" w:color="auto"/>
                                        <w:left w:val="none" w:sz="0" w:space="0" w:color="auto"/>
                                        <w:bottom w:val="none" w:sz="0" w:space="0" w:color="auto"/>
                                        <w:right w:val="none" w:sz="0" w:space="0" w:color="auto"/>
                                      </w:divBdr>
                                      <w:divsChild>
                                        <w:div w:id="1375543565">
                                          <w:marLeft w:val="0"/>
                                          <w:marRight w:val="0"/>
                                          <w:marTop w:val="0"/>
                                          <w:marBottom w:val="0"/>
                                          <w:divBdr>
                                            <w:top w:val="none" w:sz="0" w:space="0" w:color="auto"/>
                                            <w:left w:val="none" w:sz="0" w:space="0" w:color="auto"/>
                                            <w:bottom w:val="none" w:sz="0" w:space="0" w:color="auto"/>
                                            <w:right w:val="none" w:sz="0" w:space="0" w:color="auto"/>
                                          </w:divBdr>
                                          <w:divsChild>
                                            <w:div w:id="15740086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25392</Words>
  <Characters>144739</Characters>
  <Application>Microsoft Office Word</Application>
  <DocSecurity>0</DocSecurity>
  <Lines>1206</Lines>
  <Paragraphs>339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Podda</dc:creator>
  <cp:lastModifiedBy>Carmine Podda</cp:lastModifiedBy>
  <cp:revision>2</cp:revision>
  <dcterms:created xsi:type="dcterms:W3CDTF">2017-04-28T15:19:00Z</dcterms:created>
  <dcterms:modified xsi:type="dcterms:W3CDTF">2017-04-28T15:19:00Z</dcterms:modified>
</cp:coreProperties>
</file>